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6" w:lineRule="exact"/>
        <w:ind w:left="0" w:leftChars="0"/>
        <w:jc w:val="both"/>
        <w:textAlignment w:val="auto"/>
        <w:rPr>
          <w:rFonts w:hint="eastAsia" w:ascii="黑体" w:hAnsi="黑体" w:eastAsia="黑体" w:cs="黑体"/>
          <w:sz w:val="32"/>
          <w:szCs w:val="32"/>
          <w:lang w:val="en-US" w:eastAsia="zh-CN"/>
        </w:rPr>
      </w:pPr>
      <w:bookmarkStart w:id="0" w:name="_GoBack"/>
      <w:bookmarkEnd w:id="0"/>
      <w:r>
        <w:rPr>
          <w:rFonts w:hint="eastAsia" w:ascii="黑体" w:hAnsi="黑体" w:eastAsia="黑体" w:cs="黑体"/>
          <w:sz w:val="32"/>
          <w:szCs w:val="32"/>
          <w:lang w:val="en-US" w:eastAsia="zh-CN"/>
        </w:rPr>
        <w:t>报告二十三</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小标宋简体" w:hAnsi="方正小标宋简体" w:eastAsia="方正小标宋简体" w:cs="方正小标宋简体"/>
          <w:kern w:val="2"/>
          <w:sz w:val="44"/>
          <w:szCs w:val="44"/>
          <w:lang w:val="en-US" w:eastAsia="zh-CN" w:bidi="ar-SA"/>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小标宋简体" w:hAnsi="方正小标宋简体" w:eastAsia="方正小标宋简体" w:cs="方正小标宋简体"/>
          <w:kern w:val="2"/>
          <w:sz w:val="44"/>
          <w:szCs w:val="44"/>
          <w:lang w:val="en-US" w:eastAsia="zh-CN" w:bidi="ar-SA"/>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小标宋简体" w:hAnsi="方正小标宋简体" w:eastAsia="方正小标宋简体" w:cs="方正小标宋简体"/>
          <w:kern w:val="2"/>
          <w:sz w:val="44"/>
          <w:szCs w:val="44"/>
          <w:lang w:val="en-US" w:eastAsia="zh-CN" w:bidi="ar-SA"/>
        </w:rPr>
      </w:pPr>
      <w:r>
        <w:rPr>
          <w:rFonts w:hint="eastAsia" w:ascii="方正小标宋简体" w:hAnsi="方正小标宋简体" w:eastAsia="方正小标宋简体" w:cs="方正小标宋简体"/>
          <w:kern w:val="2"/>
          <w:sz w:val="44"/>
          <w:szCs w:val="44"/>
          <w:lang w:val="en-US" w:eastAsia="zh-CN" w:bidi="ar-SA"/>
        </w:rPr>
        <w:t>西藏银行股份有限公司可持续信息披露报告</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小标宋简体" w:hAnsi="方正小标宋简体" w:eastAsia="方正小标宋简体" w:cs="方正小标宋简体"/>
          <w:kern w:val="2"/>
          <w:sz w:val="84"/>
          <w:szCs w:val="84"/>
          <w:lang w:val="en-US" w:eastAsia="zh-CN" w:bidi="ar-SA"/>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小标宋简体" w:hAnsi="方正小标宋简体" w:eastAsia="方正小标宋简体" w:cs="方正小标宋简体"/>
          <w:kern w:val="2"/>
          <w:sz w:val="84"/>
          <w:szCs w:val="84"/>
          <w:lang w:val="en-US" w:eastAsia="zh-CN" w:bidi="ar-SA"/>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小标宋简体" w:hAnsi="方正小标宋简体" w:eastAsia="方正小标宋简体" w:cs="方正小标宋简体"/>
          <w:kern w:val="2"/>
          <w:sz w:val="84"/>
          <w:szCs w:val="84"/>
          <w:lang w:val="en-US" w:eastAsia="zh-CN" w:bidi="ar-SA"/>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小标宋简体" w:hAnsi="方正小标宋简体" w:eastAsia="方正小标宋简体" w:cs="方正小标宋简体"/>
          <w:kern w:val="2"/>
          <w:sz w:val="44"/>
          <w:szCs w:val="44"/>
          <w:lang w:val="en-US" w:eastAsia="zh-CN" w:bidi="ar-SA"/>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小标宋简体" w:hAnsi="方正小标宋简体" w:eastAsia="方正小标宋简体" w:cs="方正小标宋简体"/>
          <w:kern w:val="2"/>
          <w:sz w:val="44"/>
          <w:szCs w:val="44"/>
          <w:lang w:val="en-US" w:eastAsia="zh-CN" w:bidi="ar-SA"/>
        </w:rPr>
      </w:pPr>
      <w:r>
        <w:rPr>
          <w:rFonts w:hint="eastAsia" w:ascii="方正小标宋简体" w:hAnsi="方正小标宋简体" w:eastAsia="方正小标宋简体" w:cs="方正小标宋简体"/>
          <w:kern w:val="2"/>
          <w:sz w:val="44"/>
          <w:szCs w:val="44"/>
          <w:lang w:val="en-US" w:eastAsia="zh-CN" w:bidi="ar-SA"/>
        </w:rPr>
        <w:t>（ 2025年度）</w:t>
      </w:r>
    </w:p>
    <w:p>
      <w:pPr>
        <w:pStyle w:val="2"/>
        <w:rPr>
          <w:rFonts w:hint="eastAsia" w:ascii="方正小标宋简体" w:hAnsi="方正小标宋简体" w:eastAsia="方正小标宋简体" w:cs="方正小标宋简体"/>
          <w:kern w:val="2"/>
          <w:sz w:val="84"/>
          <w:szCs w:val="84"/>
          <w:lang w:val="en-US" w:eastAsia="zh-CN" w:bidi="ar-SA"/>
        </w:rPr>
      </w:pPr>
    </w:p>
    <w:p>
      <w:pPr>
        <w:rPr>
          <w:rFonts w:hint="eastAsia" w:ascii="方正小标宋简体" w:hAnsi="方正小标宋简体" w:eastAsia="方正小标宋简体" w:cs="方正小标宋简体"/>
          <w:kern w:val="2"/>
          <w:sz w:val="84"/>
          <w:szCs w:val="84"/>
          <w:lang w:val="en-US" w:eastAsia="zh-CN" w:bidi="ar-SA"/>
        </w:rPr>
      </w:pPr>
    </w:p>
    <w:p>
      <w:pPr>
        <w:pStyle w:val="4"/>
      </w:pPr>
    </w:p>
    <w:p/>
    <w:p>
      <w:pPr>
        <w:pStyle w:val="2"/>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一、报告基础信息</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楷体" w:hAnsi="楷体" w:eastAsia="楷体" w:cs="楷体"/>
          <w:kern w:val="2"/>
          <w:sz w:val="32"/>
          <w:szCs w:val="32"/>
          <w:lang w:val="en-US" w:eastAsia="zh-CN" w:bidi="ar-SA"/>
        </w:rPr>
      </w:pPr>
      <w:r>
        <w:rPr>
          <w:rFonts w:hint="eastAsia" w:ascii="楷体" w:hAnsi="楷体" w:eastAsia="楷体" w:cs="楷体"/>
          <w:kern w:val="2"/>
          <w:sz w:val="32"/>
          <w:szCs w:val="32"/>
          <w:lang w:val="en-US" w:eastAsia="zh-CN" w:bidi="ar-SA"/>
        </w:rPr>
        <w:t>1.1 报告编制说明</w:t>
      </w:r>
    </w:p>
    <w:p>
      <w:pPr>
        <w:pStyle w:val="22"/>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本报告严格依据《金融机构可持续信息披露指南（征求意见稿）》（JR/T XXXX-XXX）编制，基本覆盖环境、社会和治理相关风险、机遇及影响，重点聚焦气候变化与生物多样性保护核心议题。报告旨在为投资者、监管机构、客户及社会公众等利益相关方，提供真实、完整、可比的可持续发展实践信息，充分披露本行可持续发展实践与绩效。</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楷体" w:hAnsi="楷体" w:eastAsia="楷体" w:cs="楷体"/>
          <w:kern w:val="2"/>
          <w:sz w:val="32"/>
          <w:szCs w:val="32"/>
          <w:lang w:val="en-US" w:eastAsia="zh-CN" w:bidi="ar-SA"/>
        </w:rPr>
      </w:pPr>
      <w:r>
        <w:rPr>
          <w:rFonts w:hint="eastAsia" w:ascii="楷体" w:hAnsi="楷体" w:eastAsia="楷体" w:cs="楷体"/>
          <w:kern w:val="2"/>
          <w:sz w:val="32"/>
          <w:szCs w:val="32"/>
          <w:lang w:val="en-US" w:eastAsia="zh-CN" w:bidi="ar-SA"/>
        </w:rPr>
        <w:t>1.2 报告范围</w:t>
      </w:r>
    </w:p>
    <w:p>
      <w:pPr>
        <w:pStyle w:val="22"/>
        <w:keepNext w:val="0"/>
        <w:keepLines w:val="0"/>
        <w:pageBreakBefore w:val="0"/>
        <w:kinsoku/>
        <w:wordWrap/>
        <w:overflowPunct/>
        <w:topLinePunct w:val="0"/>
        <w:autoSpaceDE/>
        <w:autoSpaceDN/>
        <w:bidi w:val="0"/>
        <w:adjustRightInd/>
        <w:snapToGrid/>
        <w:spacing w:line="576" w:lineRule="exact"/>
        <w:ind w:firstLine="643"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b/>
          <w:bCs/>
          <w:kern w:val="2"/>
          <w:sz w:val="32"/>
          <w:szCs w:val="32"/>
          <w:lang w:val="en-US" w:eastAsia="zh-CN" w:bidi="ar-SA"/>
        </w:rPr>
        <w:t>时间范围</w:t>
      </w:r>
      <w:r>
        <w:rPr>
          <w:rFonts w:hint="eastAsia" w:ascii="仿宋" w:hAnsi="仿宋" w:eastAsia="仿宋" w:cs="仿宋"/>
          <w:kern w:val="2"/>
          <w:sz w:val="32"/>
          <w:szCs w:val="32"/>
          <w:lang w:val="en-US" w:eastAsia="zh-CN" w:bidi="ar-SA"/>
        </w:rPr>
        <w:t>：2025年1月1日至2025年12月31日。</w:t>
      </w:r>
    </w:p>
    <w:p>
      <w:pPr>
        <w:pStyle w:val="22"/>
        <w:keepNext w:val="0"/>
        <w:keepLines w:val="0"/>
        <w:pageBreakBefore w:val="0"/>
        <w:widowControl/>
        <w:kinsoku/>
        <w:wordWrap/>
        <w:overflowPunct/>
        <w:topLinePunct w:val="0"/>
        <w:autoSpaceDE/>
        <w:autoSpaceDN/>
        <w:bidi w:val="0"/>
        <w:adjustRightInd/>
        <w:snapToGrid/>
        <w:spacing w:line="576" w:lineRule="exact"/>
        <w:ind w:firstLine="643"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b/>
          <w:bCs/>
          <w:kern w:val="2"/>
          <w:sz w:val="32"/>
          <w:szCs w:val="32"/>
          <w:lang w:val="en-US" w:eastAsia="zh-CN" w:bidi="ar-SA"/>
        </w:rPr>
        <w:t>组织范围</w:t>
      </w:r>
      <w:r>
        <w:rPr>
          <w:rFonts w:hint="eastAsia" w:ascii="仿宋" w:hAnsi="仿宋" w:eastAsia="仿宋" w:cs="仿宋"/>
          <w:kern w:val="2"/>
          <w:sz w:val="32"/>
          <w:szCs w:val="32"/>
          <w:lang w:val="en-US" w:eastAsia="zh-CN" w:bidi="ar-SA"/>
        </w:rPr>
        <w:t>：涵盖西藏银行总行、13家分支机构及全部经营活动，包括投融资业务、内部运营、社会责任履行等全流程。</w:t>
      </w:r>
    </w:p>
    <w:p>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hanging="360"/>
        <w:jc w:val="left"/>
        <w:textAlignment w:val="auto"/>
        <w:rPr>
          <w:rFonts w:hint="eastAsia" w:ascii="仿宋" w:hAnsi="仿宋" w:eastAsia="仿宋" w:cs="仿宋"/>
          <w:kern w:val="2"/>
          <w:sz w:val="32"/>
          <w:szCs w:val="32"/>
          <w:lang w:val="en-US" w:eastAsia="zh-CN" w:bidi="ar-SA"/>
        </w:rPr>
      </w:pPr>
      <w:r>
        <w:rPr>
          <w:rFonts w:hint="eastAsia" w:ascii="仿宋" w:hAnsi="仿宋" w:eastAsia="仿宋" w:cs="仿宋"/>
          <w:b/>
          <w:bCs/>
          <w:kern w:val="2"/>
          <w:sz w:val="32"/>
          <w:szCs w:val="32"/>
          <w:lang w:val="en-US" w:eastAsia="zh-CN" w:bidi="ar-SA"/>
        </w:rPr>
        <w:t>披露边界</w:t>
      </w:r>
      <w:r>
        <w:rPr>
          <w:rFonts w:hint="eastAsia" w:ascii="仿宋" w:hAnsi="仿宋" w:eastAsia="仿宋" w:cs="仿宋"/>
          <w:kern w:val="2"/>
          <w:sz w:val="32"/>
          <w:szCs w:val="32"/>
          <w:lang w:val="en-US" w:eastAsia="zh-CN" w:bidi="ar-SA"/>
        </w:rPr>
        <w:t>：涵盖自身运营层面可持续发展影响，及投融资活动对外部环境、社会产生的间接影响，披露口径符合《绿色金融支持项目目录（2025 年版）》相关界定。</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楷体" w:hAnsi="楷体" w:eastAsia="楷体" w:cs="楷体"/>
          <w:kern w:val="2"/>
          <w:sz w:val="32"/>
          <w:szCs w:val="32"/>
          <w:lang w:val="en-US" w:eastAsia="zh-CN" w:bidi="ar-SA"/>
        </w:rPr>
      </w:pPr>
      <w:r>
        <w:rPr>
          <w:rFonts w:hint="eastAsia" w:ascii="楷体" w:hAnsi="楷体" w:eastAsia="楷体" w:cs="楷体"/>
          <w:kern w:val="2"/>
          <w:sz w:val="32"/>
          <w:szCs w:val="32"/>
          <w:lang w:val="en-US" w:eastAsia="zh-CN" w:bidi="ar-SA"/>
        </w:rPr>
        <w:t>1.3 编制依据与数据来源</w:t>
      </w:r>
    </w:p>
    <w:p>
      <w:pPr>
        <w:pStyle w:val="22"/>
        <w:keepNext w:val="0"/>
        <w:keepLines w:val="0"/>
        <w:pageBreakBefore w:val="0"/>
        <w:kinsoku/>
        <w:wordWrap/>
        <w:overflowPunct/>
        <w:topLinePunct w:val="0"/>
        <w:autoSpaceDE/>
        <w:autoSpaceDN/>
        <w:bidi w:val="0"/>
        <w:adjustRightInd/>
        <w:snapToGrid/>
        <w:spacing w:line="576" w:lineRule="exact"/>
        <w:ind w:firstLine="643"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b/>
          <w:bCs/>
          <w:kern w:val="2"/>
          <w:sz w:val="32"/>
          <w:szCs w:val="32"/>
          <w:lang w:val="en-US" w:eastAsia="zh-CN" w:bidi="ar-SA"/>
        </w:rPr>
        <w:t>编制依据</w:t>
      </w:r>
      <w:r>
        <w:rPr>
          <w:rFonts w:hint="eastAsia" w:ascii="仿宋" w:hAnsi="仿宋" w:eastAsia="仿宋" w:cs="仿宋"/>
          <w:kern w:val="2"/>
          <w:sz w:val="32"/>
          <w:szCs w:val="32"/>
          <w:lang w:val="en-US" w:eastAsia="zh-CN" w:bidi="ar-SA"/>
        </w:rPr>
        <w:t>：《金融机构可持续信息披露指南（征求意见稿）》《企业可持续披露准则第1号——气候（试行）》《西藏金融机构绿色金融评估方案（试行）》《银行业保险业绿色金融高质量发展实施方案》等国家及地方政策法规与行业标准。</w:t>
      </w:r>
    </w:p>
    <w:p>
      <w:pPr>
        <w:pStyle w:val="22"/>
        <w:keepNext w:val="0"/>
        <w:keepLines w:val="0"/>
        <w:pageBreakBefore w:val="0"/>
        <w:kinsoku/>
        <w:wordWrap/>
        <w:overflowPunct/>
        <w:topLinePunct w:val="0"/>
        <w:autoSpaceDE/>
        <w:autoSpaceDN/>
        <w:bidi w:val="0"/>
        <w:adjustRightInd/>
        <w:snapToGrid/>
        <w:spacing w:line="576" w:lineRule="exact"/>
        <w:ind w:firstLine="643"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b/>
          <w:bCs/>
          <w:kern w:val="2"/>
          <w:sz w:val="32"/>
          <w:szCs w:val="32"/>
          <w:lang w:val="en-US" w:eastAsia="zh-CN" w:bidi="ar-SA"/>
        </w:rPr>
        <w:t>数据来源：</w:t>
      </w:r>
      <w:r>
        <w:rPr>
          <w:rFonts w:hint="eastAsia" w:ascii="仿宋" w:hAnsi="仿宋" w:eastAsia="仿宋" w:cs="仿宋"/>
          <w:kern w:val="2"/>
          <w:sz w:val="32"/>
          <w:szCs w:val="32"/>
          <w:lang w:val="en-US" w:eastAsia="zh-CN" w:bidi="ar-SA"/>
        </w:rPr>
        <w:t>行内信贷管理系统、财务统计报表、业务档案等内部资料；第三方机构出具的碳核算报告、项目环境影响评价文件等鉴证资料；政府部门发布的政策文件及公开统计数据。数据收集遵循“真实准确、可追溯、低成本获取”原则，部分无法量化的信息采用定性描述。</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楷体" w:hAnsi="楷体" w:eastAsia="楷体" w:cs="楷体"/>
          <w:kern w:val="2"/>
          <w:sz w:val="32"/>
          <w:szCs w:val="32"/>
          <w:lang w:val="en-US" w:eastAsia="zh-CN" w:bidi="ar-SA"/>
        </w:rPr>
      </w:pPr>
      <w:r>
        <w:rPr>
          <w:rFonts w:hint="eastAsia" w:ascii="楷体" w:hAnsi="楷体" w:eastAsia="楷体" w:cs="楷体"/>
          <w:kern w:val="2"/>
          <w:sz w:val="32"/>
          <w:szCs w:val="32"/>
          <w:lang w:val="en-US" w:eastAsia="zh-CN" w:bidi="ar-SA"/>
        </w:rPr>
        <w:t>1.4 联系方式</w:t>
      </w:r>
    </w:p>
    <w:p>
      <w:pPr>
        <w:pStyle w:val="22"/>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地址：西藏自治区拉萨市民族北路7号</w:t>
      </w:r>
    </w:p>
    <w:p>
      <w:pPr>
        <w:pStyle w:val="22"/>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邮编：850015</w:t>
      </w:r>
    </w:p>
    <w:p>
      <w:pPr>
        <w:pStyle w:val="22"/>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电话：0891-6310122</w:t>
      </w:r>
    </w:p>
    <w:p>
      <w:pPr>
        <w:pStyle w:val="22"/>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官方网站：</w:t>
      </w:r>
      <w:r>
        <w:rPr>
          <w:rFonts w:hint="eastAsia" w:ascii="仿宋" w:hAnsi="仿宋" w:eastAsia="仿宋" w:cs="仿宋"/>
          <w:kern w:val="2"/>
          <w:sz w:val="32"/>
          <w:szCs w:val="32"/>
          <w:lang w:val="en-US" w:eastAsia="zh-CN" w:bidi="ar-SA"/>
        </w:rPr>
        <w:fldChar w:fldCharType="begin"/>
      </w:r>
      <w:r>
        <w:rPr>
          <w:rFonts w:hint="eastAsia" w:ascii="仿宋" w:hAnsi="仿宋" w:eastAsia="仿宋" w:cs="仿宋"/>
          <w:kern w:val="2"/>
          <w:sz w:val="32"/>
          <w:szCs w:val="32"/>
          <w:lang w:val="en-US" w:eastAsia="zh-CN" w:bidi="ar-SA"/>
        </w:rPr>
        <w:instrText xml:space="preserve"> HYPERLINK "http://www.xzbc.com.cn" </w:instrText>
      </w:r>
      <w:r>
        <w:rPr>
          <w:rFonts w:hint="eastAsia" w:ascii="仿宋" w:hAnsi="仿宋" w:eastAsia="仿宋" w:cs="仿宋"/>
          <w:kern w:val="2"/>
          <w:sz w:val="32"/>
          <w:szCs w:val="32"/>
          <w:lang w:val="en-US" w:eastAsia="zh-CN" w:bidi="ar-SA"/>
        </w:rPr>
        <w:fldChar w:fldCharType="separate"/>
      </w:r>
      <w:r>
        <w:rPr>
          <w:rFonts w:hint="eastAsia" w:ascii="仿宋" w:hAnsi="仿宋" w:eastAsia="仿宋" w:cs="仿宋"/>
          <w:kern w:val="2"/>
          <w:sz w:val="32"/>
          <w:szCs w:val="32"/>
          <w:lang w:val="en-US" w:eastAsia="zh-CN" w:bidi="ar-SA"/>
        </w:rPr>
        <w:t>www.xzbc.com.cn</w:t>
      </w:r>
      <w:r>
        <w:rPr>
          <w:rFonts w:hint="eastAsia" w:ascii="仿宋" w:hAnsi="仿宋" w:eastAsia="仿宋" w:cs="仿宋"/>
          <w:kern w:val="2"/>
          <w:sz w:val="32"/>
          <w:szCs w:val="32"/>
          <w:lang w:val="en-US" w:eastAsia="zh-CN" w:bidi="ar-SA"/>
        </w:rPr>
        <w:fldChar w:fldCharType="end"/>
      </w:r>
    </w:p>
    <w:p>
      <w:pPr>
        <w:pStyle w:val="22"/>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default"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微信公众号：西藏银行股份有限公司</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二、概况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楷体" w:hAnsi="楷体" w:eastAsia="楷体" w:cs="楷体"/>
          <w:kern w:val="2"/>
          <w:sz w:val="32"/>
          <w:szCs w:val="32"/>
          <w:lang w:val="en-US" w:eastAsia="zh-CN" w:bidi="ar-SA"/>
        </w:rPr>
      </w:pPr>
      <w:r>
        <w:rPr>
          <w:rFonts w:hint="eastAsia" w:ascii="楷体" w:hAnsi="楷体" w:eastAsia="楷体" w:cs="楷体"/>
          <w:kern w:val="2"/>
          <w:sz w:val="32"/>
          <w:szCs w:val="32"/>
          <w:lang w:val="en-US" w:eastAsia="zh-CN" w:bidi="ar-SA"/>
        </w:rPr>
        <w:t>2.1 机构基本情况</w:t>
      </w:r>
    </w:p>
    <w:p>
      <w:pPr>
        <w:pStyle w:val="22"/>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西藏银行成立于2012年5月，是西藏本土法人金融机构，截至2025年末，注册资本金331,963.5万元，正式员工632人，分支机构覆盖西藏主要地市及重点县域。本行坚守“服务地方、服务中小、服务民生”市场定位，聚焦“四件大事”、聚力“四个创建”，2025年度“陀螺”评价位居全国城市商业银行前列，2025年度绿色金融工作获西藏银行业协会“优秀”评价。</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楷体" w:hAnsi="楷体" w:eastAsia="楷体" w:cs="楷体"/>
          <w:kern w:val="2"/>
          <w:sz w:val="32"/>
          <w:szCs w:val="32"/>
          <w:lang w:val="en-US" w:eastAsia="zh-CN" w:bidi="ar-SA"/>
        </w:rPr>
      </w:pPr>
      <w:r>
        <w:rPr>
          <w:rFonts w:hint="eastAsia" w:ascii="楷体" w:hAnsi="楷体" w:eastAsia="楷体" w:cs="楷体"/>
          <w:kern w:val="2"/>
          <w:sz w:val="32"/>
          <w:szCs w:val="32"/>
          <w:lang w:val="en-US" w:eastAsia="zh-CN" w:bidi="ar-SA"/>
        </w:rPr>
        <w:t>2.2 可持续发展总体情况</w:t>
      </w:r>
    </w:p>
    <w:p>
      <w:pPr>
        <w:pStyle w:val="22"/>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2025年，本行将可持续发展融入战略规划与经营管理，构建“战略引领、治理保障、产品创新、风险管控”四位一体的可持续金融体系。绿色信贷规模稳步增长，持续加大“青山贷”等特色信贷产品的推广与投放力度，落地首笔碳减排支持工具业务与首个“碳中和建筑”网点；积极践行生态保护责任，参与拉萨南北山绿化工程，带动群众就业增收；完善可持续信息披露机制，实现治理、战略、风险和机遇管理、指标和目标四大核心要素的全覆盖，可持续发展能力持续提升。</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三、战略规划</w:t>
      </w:r>
    </w:p>
    <w:p>
      <w:pPr>
        <w:pStyle w:val="5"/>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楷体" w:hAnsi="楷体" w:eastAsia="楷体" w:cs="楷体"/>
          <w:b w:val="0"/>
          <w:bCs w:val="0"/>
          <w:kern w:val="2"/>
          <w:sz w:val="32"/>
          <w:szCs w:val="32"/>
          <w:lang w:val="en-US" w:eastAsia="zh-CN" w:bidi="ar-SA"/>
        </w:rPr>
      </w:pPr>
      <w:r>
        <w:rPr>
          <w:rFonts w:hint="eastAsia" w:ascii="楷体" w:hAnsi="楷体" w:eastAsia="楷体" w:cs="楷体"/>
          <w:b w:val="0"/>
          <w:bCs w:val="0"/>
          <w:kern w:val="2"/>
          <w:sz w:val="32"/>
          <w:szCs w:val="32"/>
          <w:lang w:val="en-US" w:eastAsia="zh-CN" w:bidi="ar-SA"/>
        </w:rPr>
        <w:t>3.1 可持续发展战略愿景与体系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left"/>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本行在《西藏银行股份有限公司 2021-2025 年战略发展规划》中，对可持续金融发展实施前瞻性布局，紧扣自治区特色化经营要求，将绿色金融作为核心竞争力培育的关键抓手。规划期内，本行确立 “一核两重三高” 目标客户定位，以产业链价值提升为导向，深耕高原生物、旅游文化、清洁能源等七大支柱产业，通过 “圈链化” 产业金融场景建设，推动绿色金融与普惠金融、产业金融协同融合。</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left"/>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信贷投向坚持优先支持文化旅游、医药制造两大特色行业，重点倾斜环保、节能、清洁能源三大绿色领域，加大污水处理、垃圾处理等生态环保项目及水电、光伏等清洁能源领域信贷投放，积极参与 “两江四河” 造林绿化等生态建设工程。同时，将支持乡村振兴、边境地区建设与民生改善纳入社会责任核心范畴，重点扶持食品饮料、农产品加工等民生行业，构建与自治区绿色低碳发展相适配的业务结构与战略执行体系，为生态优先、金融赋能、协同发展的可持续发展战略落地提供坚实规划保障。</w:t>
      </w:r>
    </w:p>
    <w:p>
      <w:pPr>
        <w:pStyle w:val="5"/>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楷体" w:hAnsi="楷体" w:eastAsia="楷体" w:cs="楷体"/>
          <w:b w:val="0"/>
          <w:bCs w:val="0"/>
          <w:kern w:val="2"/>
          <w:sz w:val="32"/>
          <w:szCs w:val="32"/>
          <w:lang w:val="en-US" w:eastAsia="zh-CN" w:bidi="ar-SA"/>
        </w:rPr>
      </w:pPr>
      <w:r>
        <w:rPr>
          <w:rFonts w:hint="eastAsia" w:ascii="楷体" w:hAnsi="楷体" w:eastAsia="楷体" w:cs="楷体"/>
          <w:b w:val="0"/>
          <w:bCs w:val="0"/>
          <w:kern w:val="2"/>
          <w:sz w:val="32"/>
          <w:szCs w:val="32"/>
          <w:lang w:val="en-US" w:eastAsia="zh-CN" w:bidi="ar-SA"/>
        </w:rPr>
        <w:t>3.2 气候相关目标与进展</w:t>
      </w:r>
    </w:p>
    <w:p>
      <w:pPr>
        <w:pStyle w:val="22"/>
      </w:pPr>
    </w:p>
    <w:tbl>
      <w:tblPr>
        <w:tblStyle w:val="15"/>
        <w:tblW w:w="5006" w:type="pct"/>
        <w:tblInd w:w="0" w:type="dxa"/>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Layout w:type="fixed"/>
        <w:tblCellMar>
          <w:top w:w="0" w:type="dxa"/>
          <w:left w:w="10" w:type="dxa"/>
          <w:bottom w:w="0" w:type="dxa"/>
          <w:right w:w="10" w:type="dxa"/>
        </w:tblCellMar>
      </w:tblPr>
      <w:tblGrid>
        <w:gridCol w:w="1904"/>
        <w:gridCol w:w="3958"/>
        <w:gridCol w:w="3416"/>
      </w:tblGrid>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rPr>
          <w:trHeight w:val="420" w:hRule="atLeast"/>
        </w:trPr>
        <w:tc>
          <w:tcPr>
            <w:tcW w:w="1026" w:type="pct"/>
            <w:tcBorders>
              <w:tl2br w:val="nil"/>
              <w:tr2bl w:val="nil"/>
            </w:tcBorders>
            <w:tcMar>
              <w:top w:w="60" w:type="dxa"/>
              <w:left w:w="120" w:type="dxa"/>
              <w:bottom w:w="30" w:type="dxa"/>
              <w:right w:w="120" w:type="dxa"/>
            </w:tcMar>
          </w:tcPr>
          <w:p>
            <w:pPr>
              <w:keepNext w:val="0"/>
              <w:keepLines w:val="0"/>
              <w:widowControl/>
              <w:suppressLineNumbers w:val="0"/>
              <w:jc w:val="left"/>
              <w:textAlignment w:val="center"/>
              <w:rPr>
                <w:rFonts w:hint="eastAsia" w:ascii="Arial" w:hAnsi="Arial" w:eastAsia="等线" w:cs="Arial"/>
                <w:sz w:val="22"/>
                <w:szCs w:val="22"/>
                <w:lang w:val="en-US" w:eastAsia="zh-CN"/>
              </w:rPr>
            </w:pPr>
            <w:r>
              <w:rPr>
                <w:rFonts w:hint="eastAsia" w:ascii="Arial" w:hAnsi="Arial" w:eastAsia="等线" w:cs="Arial"/>
                <w:sz w:val="22"/>
                <w:szCs w:val="22"/>
                <w:lang w:val="en-US" w:eastAsia="zh-CN"/>
              </w:rPr>
              <w:t>目标类型</w:t>
            </w:r>
          </w:p>
        </w:tc>
        <w:tc>
          <w:tcPr>
            <w:tcW w:w="2133" w:type="pct"/>
            <w:tcBorders>
              <w:tl2br w:val="nil"/>
              <w:tr2bl w:val="nil"/>
            </w:tcBorders>
            <w:tcMar>
              <w:top w:w="60" w:type="dxa"/>
              <w:left w:w="120" w:type="dxa"/>
              <w:bottom w:w="30" w:type="dxa"/>
              <w:right w:w="120" w:type="dxa"/>
            </w:tcMar>
          </w:tcPr>
          <w:p>
            <w:pPr>
              <w:keepNext w:val="0"/>
              <w:keepLines w:val="0"/>
              <w:widowControl/>
              <w:suppressLineNumbers w:val="0"/>
              <w:jc w:val="left"/>
              <w:textAlignment w:val="center"/>
              <w:rPr>
                <w:rFonts w:hint="eastAsia" w:ascii="Arial" w:hAnsi="Arial" w:eastAsia="等线" w:cs="Arial"/>
                <w:sz w:val="22"/>
                <w:szCs w:val="22"/>
                <w:lang w:val="en-US" w:eastAsia="zh-CN"/>
              </w:rPr>
            </w:pPr>
            <w:r>
              <w:rPr>
                <w:rFonts w:hint="eastAsia" w:ascii="Arial" w:hAnsi="Arial" w:eastAsia="等线" w:cs="Arial"/>
                <w:sz w:val="22"/>
                <w:szCs w:val="22"/>
                <w:lang w:val="en-US" w:eastAsia="zh-CN"/>
              </w:rPr>
              <w:t>具体目标</w:t>
            </w:r>
          </w:p>
        </w:tc>
        <w:tc>
          <w:tcPr>
            <w:tcW w:w="1840" w:type="pct"/>
            <w:tcBorders>
              <w:tl2br w:val="nil"/>
              <w:tr2bl w:val="nil"/>
            </w:tcBorders>
            <w:tcMar>
              <w:top w:w="60" w:type="dxa"/>
              <w:left w:w="120" w:type="dxa"/>
              <w:bottom w:w="30" w:type="dxa"/>
              <w:right w:w="120" w:type="dxa"/>
            </w:tcMar>
          </w:tcPr>
          <w:p>
            <w:pPr>
              <w:keepNext w:val="0"/>
              <w:keepLines w:val="0"/>
              <w:widowControl/>
              <w:suppressLineNumbers w:val="0"/>
              <w:jc w:val="left"/>
              <w:textAlignment w:val="center"/>
              <w:rPr>
                <w:rFonts w:hint="eastAsia" w:ascii="Arial" w:hAnsi="Arial" w:eastAsia="等线" w:cs="Arial"/>
                <w:sz w:val="22"/>
                <w:szCs w:val="22"/>
                <w:lang w:val="en-US" w:eastAsia="zh-CN"/>
              </w:rPr>
            </w:pPr>
            <w:r>
              <w:rPr>
                <w:rFonts w:hint="eastAsia" w:ascii="Arial" w:hAnsi="Arial" w:eastAsia="等线" w:cs="Arial"/>
                <w:sz w:val="22"/>
                <w:szCs w:val="22"/>
                <w:lang w:val="en-US" w:eastAsia="zh-CN"/>
              </w:rPr>
              <w:t>2025年进展</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rPr>
          <w:trHeight w:val="726" w:hRule="atLeast"/>
        </w:trPr>
        <w:tc>
          <w:tcPr>
            <w:tcW w:w="1026" w:type="pct"/>
            <w:tcBorders>
              <w:tl2br w:val="nil"/>
              <w:tr2bl w:val="nil"/>
            </w:tcBorders>
            <w:tcMar>
              <w:top w:w="60" w:type="dxa"/>
              <w:left w:w="120" w:type="dxa"/>
              <w:bottom w:w="30" w:type="dxa"/>
              <w:right w:w="120" w:type="dxa"/>
            </w:tcMar>
          </w:tcPr>
          <w:p>
            <w:pPr>
              <w:keepNext w:val="0"/>
              <w:keepLines w:val="0"/>
              <w:widowControl/>
              <w:suppressLineNumbers w:val="0"/>
              <w:jc w:val="left"/>
              <w:textAlignment w:val="center"/>
              <w:rPr>
                <w:rFonts w:hint="eastAsia" w:ascii="Arial" w:hAnsi="Arial" w:eastAsia="等线" w:cs="Arial"/>
                <w:sz w:val="22"/>
                <w:szCs w:val="22"/>
                <w:lang w:val="en-US" w:eastAsia="zh-CN"/>
              </w:rPr>
            </w:pPr>
            <w:r>
              <w:rPr>
                <w:rFonts w:hint="eastAsia" w:ascii="Arial" w:hAnsi="Arial" w:eastAsia="等线" w:cs="Arial"/>
                <w:sz w:val="22"/>
                <w:szCs w:val="22"/>
                <w:lang w:val="en-US" w:eastAsia="zh-CN"/>
              </w:rPr>
              <w:t>投融资低碳转型</w:t>
            </w:r>
          </w:p>
        </w:tc>
        <w:tc>
          <w:tcPr>
            <w:tcW w:w="2133" w:type="pct"/>
            <w:tcBorders>
              <w:tl2br w:val="nil"/>
              <w:tr2bl w:val="nil"/>
            </w:tcBorders>
            <w:tcMar>
              <w:top w:w="60" w:type="dxa"/>
              <w:left w:w="120" w:type="dxa"/>
              <w:bottom w:w="30" w:type="dxa"/>
              <w:right w:w="120" w:type="dxa"/>
            </w:tcMar>
          </w:tcPr>
          <w:p>
            <w:pPr>
              <w:keepNext w:val="0"/>
              <w:keepLines w:val="0"/>
              <w:widowControl/>
              <w:suppressLineNumbers w:val="0"/>
              <w:jc w:val="left"/>
              <w:textAlignment w:val="center"/>
              <w:rPr>
                <w:rFonts w:hint="eastAsia" w:ascii="Arial" w:hAnsi="Arial" w:eastAsia="等线" w:cs="Arial"/>
                <w:sz w:val="22"/>
                <w:szCs w:val="22"/>
                <w:lang w:val="en-US" w:eastAsia="zh-CN"/>
              </w:rPr>
            </w:pPr>
            <w:r>
              <w:rPr>
                <w:rFonts w:hint="eastAsia" w:ascii="Arial" w:hAnsi="Arial" w:eastAsia="等线" w:cs="Arial"/>
                <w:sz w:val="22"/>
                <w:szCs w:val="22"/>
                <w:lang w:val="en-US" w:eastAsia="zh-CN"/>
              </w:rPr>
              <w:t>2025年西藏银行年末绿色信贷增速不低于全行各项贷款平均增速。</w:t>
            </w:r>
          </w:p>
          <w:p>
            <w:pPr>
              <w:keepNext w:val="0"/>
              <w:keepLines w:val="0"/>
              <w:widowControl/>
              <w:suppressLineNumbers w:val="0"/>
              <w:jc w:val="left"/>
              <w:textAlignment w:val="center"/>
              <w:rPr>
                <w:rFonts w:hint="eastAsia" w:ascii="Arial" w:hAnsi="Arial" w:eastAsia="等线" w:cs="Arial"/>
                <w:sz w:val="22"/>
                <w:szCs w:val="22"/>
                <w:lang w:val="en-US" w:eastAsia="zh-CN"/>
              </w:rPr>
            </w:pPr>
          </w:p>
        </w:tc>
        <w:tc>
          <w:tcPr>
            <w:tcW w:w="1840" w:type="pct"/>
            <w:tcBorders>
              <w:tl2br w:val="nil"/>
              <w:tr2bl w:val="nil"/>
            </w:tcBorders>
            <w:tcMar>
              <w:top w:w="60" w:type="dxa"/>
              <w:left w:w="120" w:type="dxa"/>
              <w:bottom w:w="30" w:type="dxa"/>
              <w:right w:w="120" w:type="dxa"/>
            </w:tcMar>
          </w:tcPr>
          <w:p>
            <w:pPr>
              <w:keepNext w:val="0"/>
              <w:keepLines w:val="0"/>
              <w:widowControl/>
              <w:suppressLineNumbers w:val="0"/>
              <w:jc w:val="left"/>
              <w:textAlignment w:val="center"/>
              <w:rPr>
                <w:rFonts w:hint="eastAsia" w:ascii="Arial" w:hAnsi="Arial" w:eastAsia="等线" w:cs="Arial"/>
                <w:sz w:val="22"/>
                <w:szCs w:val="22"/>
                <w:lang w:val="en-US" w:eastAsia="zh-CN"/>
              </w:rPr>
            </w:pPr>
            <w:r>
              <w:rPr>
                <w:rFonts w:hint="eastAsia" w:ascii="Arial" w:hAnsi="Arial" w:eastAsia="等线" w:cs="Arial"/>
                <w:sz w:val="22"/>
                <w:szCs w:val="22"/>
                <w:lang w:val="en-US" w:eastAsia="zh-CN"/>
              </w:rPr>
              <w:t>2025年绿色信贷余额30.50亿元，占一般性贷款9.94%，增速16.9%。</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rPr>
          <w:trHeight w:val="1334" w:hRule="atLeast"/>
        </w:trPr>
        <w:tc>
          <w:tcPr>
            <w:tcW w:w="1026" w:type="pct"/>
            <w:tcBorders>
              <w:tl2br w:val="nil"/>
              <w:tr2bl w:val="nil"/>
            </w:tcBorders>
            <w:tcMar>
              <w:top w:w="60" w:type="dxa"/>
              <w:left w:w="120" w:type="dxa"/>
              <w:bottom w:w="30" w:type="dxa"/>
              <w:right w:w="120" w:type="dxa"/>
            </w:tcMar>
          </w:tcPr>
          <w:p>
            <w:pPr>
              <w:keepNext w:val="0"/>
              <w:keepLines w:val="0"/>
              <w:widowControl/>
              <w:suppressLineNumbers w:val="0"/>
              <w:jc w:val="left"/>
              <w:textAlignment w:val="center"/>
              <w:rPr>
                <w:rFonts w:hint="eastAsia" w:ascii="Arial" w:hAnsi="Arial" w:eastAsia="等线" w:cs="Arial"/>
                <w:sz w:val="22"/>
                <w:szCs w:val="22"/>
                <w:lang w:val="en-US" w:eastAsia="zh-CN"/>
              </w:rPr>
            </w:pPr>
            <w:r>
              <w:rPr>
                <w:rFonts w:hint="eastAsia" w:ascii="Arial" w:hAnsi="Arial" w:eastAsia="等线" w:cs="Arial"/>
                <w:sz w:val="22"/>
                <w:szCs w:val="22"/>
                <w:lang w:val="en-US" w:eastAsia="zh-CN"/>
              </w:rPr>
              <w:t>自身运营减排</w:t>
            </w:r>
          </w:p>
        </w:tc>
        <w:tc>
          <w:tcPr>
            <w:tcW w:w="2133" w:type="pct"/>
            <w:tcBorders>
              <w:tl2br w:val="nil"/>
              <w:tr2bl w:val="nil"/>
            </w:tcBorders>
            <w:tcMar>
              <w:top w:w="60" w:type="dxa"/>
              <w:left w:w="120" w:type="dxa"/>
              <w:bottom w:w="30" w:type="dxa"/>
              <w:right w:w="120" w:type="dxa"/>
            </w:tcMar>
          </w:tcPr>
          <w:p>
            <w:pPr>
              <w:keepNext w:val="0"/>
              <w:keepLines w:val="0"/>
              <w:widowControl/>
              <w:suppressLineNumbers w:val="0"/>
              <w:jc w:val="left"/>
              <w:textAlignment w:val="center"/>
              <w:rPr>
                <w:rFonts w:hint="eastAsia" w:ascii="Arial" w:hAnsi="Arial" w:eastAsia="等线" w:cs="Arial"/>
                <w:sz w:val="22"/>
                <w:szCs w:val="22"/>
                <w:lang w:val="en-US" w:eastAsia="zh-CN"/>
              </w:rPr>
            </w:pPr>
            <w:r>
              <w:rPr>
                <w:rFonts w:hint="eastAsia" w:ascii="Arial" w:hAnsi="Arial" w:eastAsia="等线" w:cs="Arial"/>
                <w:sz w:val="22"/>
                <w:szCs w:val="22"/>
                <w:lang w:val="en-US" w:eastAsia="zh-CN"/>
              </w:rPr>
              <w:t>推进自身运营碳排查，做好自身环境与社会风险管理，经营管理和办公生活要严格遵循环保规定，防范用能、排污、固废处置等方面出现负面事件，引发负面舆情。</w:t>
            </w:r>
          </w:p>
        </w:tc>
        <w:tc>
          <w:tcPr>
            <w:tcW w:w="1840" w:type="pct"/>
            <w:tcBorders>
              <w:tl2br w:val="nil"/>
              <w:tr2bl w:val="nil"/>
            </w:tcBorders>
            <w:tcMar>
              <w:top w:w="60" w:type="dxa"/>
              <w:left w:w="120" w:type="dxa"/>
              <w:bottom w:w="30" w:type="dxa"/>
              <w:right w:w="120" w:type="dxa"/>
            </w:tcMar>
          </w:tcPr>
          <w:p>
            <w:pPr>
              <w:keepNext w:val="0"/>
              <w:keepLines w:val="0"/>
              <w:widowControl/>
              <w:suppressLineNumbers w:val="0"/>
              <w:jc w:val="left"/>
              <w:textAlignment w:val="center"/>
              <w:rPr>
                <w:rFonts w:hint="default" w:ascii="Arial" w:hAnsi="Arial" w:eastAsia="等线" w:cs="Arial"/>
                <w:sz w:val="22"/>
                <w:szCs w:val="22"/>
                <w:lang w:val="en-US" w:eastAsia="zh-CN"/>
              </w:rPr>
            </w:pPr>
            <w:r>
              <w:rPr>
                <w:rFonts w:hint="default" w:ascii="Arial" w:hAnsi="Arial" w:eastAsia="等线" w:cs="Arial"/>
                <w:sz w:val="22"/>
                <w:szCs w:val="22"/>
                <w:lang w:val="en-US" w:eastAsia="zh-CN"/>
              </w:rPr>
              <w:t>办公用纸量持续下降，</w:t>
            </w:r>
            <w:r>
              <w:rPr>
                <w:rFonts w:hint="eastAsia" w:ascii="Arial" w:hAnsi="Arial" w:eastAsia="等线" w:cs="Arial"/>
                <w:sz w:val="22"/>
                <w:szCs w:val="22"/>
                <w:lang w:val="en-US" w:eastAsia="zh-CN"/>
              </w:rPr>
              <w:t>营业及办公用电量稳步下降，</w:t>
            </w:r>
            <w:r>
              <w:rPr>
                <w:rFonts w:hint="default" w:ascii="Arial" w:hAnsi="Arial" w:eastAsia="等线" w:cs="Arial"/>
                <w:sz w:val="22"/>
                <w:szCs w:val="22"/>
                <w:lang w:val="en-US" w:eastAsia="zh-CN"/>
              </w:rPr>
              <w:t>米林支行“碳中和建筑”网点落地</w:t>
            </w:r>
            <w:r>
              <w:rPr>
                <w:rFonts w:hint="eastAsia" w:ascii="Arial" w:hAnsi="Arial" w:eastAsia="等线" w:cs="Arial"/>
                <w:sz w:val="22"/>
                <w:szCs w:val="22"/>
                <w:lang w:val="en-US" w:eastAsia="zh-CN"/>
              </w:rPr>
              <w:t>。</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rPr>
          <w:trHeight w:val="1167" w:hRule="atLeast"/>
        </w:trPr>
        <w:tc>
          <w:tcPr>
            <w:tcW w:w="1026" w:type="pct"/>
            <w:tcBorders>
              <w:tl2br w:val="nil"/>
              <w:tr2bl w:val="nil"/>
            </w:tcBorders>
            <w:tcMar>
              <w:top w:w="60" w:type="dxa"/>
              <w:left w:w="120" w:type="dxa"/>
              <w:bottom w:w="30" w:type="dxa"/>
              <w:right w:w="120" w:type="dxa"/>
            </w:tcMar>
          </w:tcPr>
          <w:p>
            <w:pPr>
              <w:keepNext w:val="0"/>
              <w:keepLines w:val="0"/>
              <w:widowControl/>
              <w:suppressLineNumbers w:val="0"/>
              <w:jc w:val="left"/>
              <w:textAlignment w:val="center"/>
              <w:rPr>
                <w:rFonts w:hint="eastAsia" w:ascii="Arial" w:hAnsi="Arial" w:eastAsia="等线" w:cs="Arial"/>
                <w:sz w:val="22"/>
                <w:szCs w:val="22"/>
                <w:lang w:val="en-US" w:eastAsia="zh-CN"/>
              </w:rPr>
            </w:pPr>
            <w:r>
              <w:rPr>
                <w:rFonts w:hint="eastAsia" w:ascii="Arial" w:hAnsi="Arial" w:eastAsia="等线" w:cs="Arial"/>
                <w:sz w:val="22"/>
                <w:szCs w:val="22"/>
                <w:lang w:val="en-US" w:eastAsia="zh-CN"/>
              </w:rPr>
              <w:t>生物多样性保护</w:t>
            </w:r>
          </w:p>
        </w:tc>
        <w:tc>
          <w:tcPr>
            <w:tcW w:w="2133" w:type="pct"/>
            <w:tcBorders>
              <w:tl2br w:val="nil"/>
              <w:tr2bl w:val="nil"/>
            </w:tcBorders>
            <w:tcMar>
              <w:top w:w="60" w:type="dxa"/>
              <w:left w:w="120" w:type="dxa"/>
              <w:bottom w:w="30" w:type="dxa"/>
              <w:right w:w="120" w:type="dxa"/>
            </w:tcMar>
          </w:tcPr>
          <w:p>
            <w:pPr>
              <w:keepNext w:val="0"/>
              <w:keepLines w:val="0"/>
              <w:widowControl/>
              <w:suppressLineNumbers w:val="0"/>
              <w:jc w:val="left"/>
              <w:textAlignment w:val="center"/>
              <w:rPr>
                <w:rFonts w:hint="eastAsia" w:ascii="Arial" w:hAnsi="Arial" w:eastAsia="等线" w:cs="Arial"/>
                <w:sz w:val="22"/>
                <w:szCs w:val="22"/>
                <w:lang w:val="en-US" w:eastAsia="zh-CN"/>
              </w:rPr>
            </w:pPr>
            <w:r>
              <w:rPr>
                <w:rFonts w:hint="eastAsia" w:ascii="Arial" w:hAnsi="Arial" w:eastAsia="等线" w:cs="Arial"/>
                <w:sz w:val="22"/>
                <w:szCs w:val="22"/>
                <w:lang w:val="en-US" w:eastAsia="zh-CN"/>
              </w:rPr>
              <w:t>支持拉萨南北山绿化和“两江四河”流域植树造林工程的融资，提高“青山贷”产品的市场占有率。</w:t>
            </w:r>
          </w:p>
        </w:tc>
        <w:tc>
          <w:tcPr>
            <w:tcW w:w="1840" w:type="pct"/>
            <w:tcBorders>
              <w:tl2br w:val="nil"/>
              <w:tr2bl w:val="nil"/>
            </w:tcBorders>
            <w:tcMar>
              <w:top w:w="60" w:type="dxa"/>
              <w:left w:w="120" w:type="dxa"/>
              <w:bottom w:w="30" w:type="dxa"/>
              <w:right w:w="120" w:type="dxa"/>
            </w:tcMar>
          </w:tcPr>
          <w:p>
            <w:pPr>
              <w:keepNext w:val="0"/>
              <w:keepLines w:val="0"/>
              <w:widowControl/>
              <w:suppressLineNumbers w:val="0"/>
              <w:jc w:val="left"/>
              <w:textAlignment w:val="center"/>
              <w:rPr>
                <w:rFonts w:hint="eastAsia" w:ascii="Arial" w:hAnsi="Arial" w:eastAsia="等线" w:cs="Arial"/>
                <w:sz w:val="22"/>
                <w:szCs w:val="22"/>
                <w:lang w:val="en-US" w:eastAsia="zh-CN"/>
              </w:rPr>
            </w:pPr>
            <w:r>
              <w:rPr>
                <w:rFonts w:hint="eastAsia" w:ascii="Arial" w:hAnsi="Arial" w:eastAsia="等线" w:cs="Arial"/>
                <w:sz w:val="22"/>
                <w:szCs w:val="22"/>
                <w:lang w:val="en-US" w:eastAsia="zh-CN"/>
              </w:rPr>
              <w:t>西藏银行“青山贷”产品深度契合高原生态保护需求，截至2025年12月末，累计授信约11.5亿元，累计发放贷款10.06亿元。</w:t>
            </w:r>
          </w:p>
        </w:tc>
      </w:tr>
    </w:tbl>
    <w:p>
      <w:pPr>
        <w:pStyle w:val="5"/>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楷体" w:hAnsi="楷体" w:eastAsia="楷体" w:cs="楷体"/>
          <w:b w:val="0"/>
          <w:bCs w:val="0"/>
          <w:kern w:val="2"/>
          <w:sz w:val="32"/>
          <w:szCs w:val="32"/>
          <w:lang w:val="en-US" w:eastAsia="zh-CN" w:bidi="ar-SA"/>
        </w:rPr>
      </w:pPr>
      <w:r>
        <w:rPr>
          <w:rFonts w:hint="eastAsia" w:ascii="楷体" w:hAnsi="楷体" w:eastAsia="楷体" w:cs="楷体"/>
          <w:b w:val="0"/>
          <w:bCs w:val="0"/>
          <w:kern w:val="2"/>
          <w:sz w:val="32"/>
          <w:szCs w:val="32"/>
          <w:lang w:val="en-US" w:eastAsia="zh-CN" w:bidi="ar-SA"/>
        </w:rPr>
        <w:t>3.3 战略实施路径</w:t>
      </w:r>
    </w:p>
    <w:p>
      <w:pPr>
        <w:pStyle w:val="22"/>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1.信贷资源向绿色低碳领域倾斜，重点支持光伏储能、生态修复、绿色交通等项目，严控“两高一剩”行业融资准入。</w:t>
      </w:r>
    </w:p>
    <w:p>
      <w:pPr>
        <w:pStyle w:val="22"/>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2.推进产品与服务创新，探索环境权益抵质押贷款等新型产品，拓展个人碳账户应用场景与服务边界。</w:t>
      </w:r>
    </w:p>
    <w:p>
      <w:pPr>
        <w:pStyle w:val="22"/>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3.深化跨区域合作，参与绿色债券投资，构建“信贷+投资”的多元化绿色金融服务体系。</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四、治理结构和治理活动</w:t>
      </w:r>
    </w:p>
    <w:p>
      <w:pPr>
        <w:pStyle w:val="5"/>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楷体" w:hAnsi="楷体" w:eastAsia="楷体" w:cs="楷体"/>
          <w:b w:val="0"/>
          <w:bCs w:val="0"/>
          <w:kern w:val="2"/>
          <w:sz w:val="32"/>
          <w:szCs w:val="32"/>
          <w:lang w:val="en-US" w:eastAsia="zh-CN" w:bidi="ar-SA"/>
        </w:rPr>
      </w:pPr>
      <w:r>
        <w:rPr>
          <w:rFonts w:hint="eastAsia" w:ascii="楷体" w:hAnsi="楷体" w:eastAsia="楷体" w:cs="楷体"/>
          <w:b w:val="0"/>
          <w:bCs w:val="0"/>
          <w:kern w:val="2"/>
          <w:sz w:val="32"/>
          <w:szCs w:val="32"/>
          <w:lang w:val="en-US" w:eastAsia="zh-CN" w:bidi="ar-SA"/>
        </w:rPr>
        <w:t>4.1 治理架构</w:t>
      </w:r>
    </w:p>
    <w:p>
      <w:pPr>
        <w:pStyle w:val="22"/>
        <w:keepNext w:val="0"/>
        <w:keepLines w:val="0"/>
        <w:pageBreakBefore w:val="0"/>
        <w:numPr>
          <w:ilvl w:val="0"/>
          <w:numId w:val="0"/>
        </w:numPr>
        <w:kinsoku/>
        <w:wordWrap/>
        <w:overflowPunct/>
        <w:topLinePunct w:val="0"/>
        <w:autoSpaceDE/>
        <w:autoSpaceDN/>
        <w:bidi w:val="0"/>
        <w:adjustRightInd/>
        <w:snapToGrid/>
        <w:spacing w:line="576" w:lineRule="exact"/>
        <w:ind w:leftChars="0" w:firstLine="643" w:firstLineChars="200"/>
        <w:textAlignment w:val="auto"/>
        <w:rPr>
          <w:rFonts w:hint="eastAsia" w:ascii="仿宋" w:hAnsi="仿宋" w:eastAsia="仿宋" w:cs="仿宋"/>
          <w:b w:val="0"/>
          <w:bCs w:val="0"/>
          <w:kern w:val="2"/>
          <w:sz w:val="32"/>
          <w:szCs w:val="32"/>
          <w:lang w:val="en-US" w:eastAsia="zh-CN" w:bidi="ar-SA"/>
        </w:rPr>
      </w:pPr>
      <w:r>
        <w:rPr>
          <w:rFonts w:hint="eastAsia" w:ascii="仿宋" w:hAnsi="仿宋" w:eastAsia="仿宋" w:cs="仿宋"/>
          <w:b/>
          <w:bCs/>
          <w:kern w:val="2"/>
          <w:sz w:val="32"/>
          <w:szCs w:val="32"/>
          <w:lang w:val="en-US" w:eastAsia="zh-CN" w:bidi="ar-SA"/>
        </w:rPr>
        <w:t>董事会层面：</w:t>
      </w:r>
      <w:r>
        <w:rPr>
          <w:rFonts w:hint="eastAsia" w:ascii="仿宋" w:hAnsi="仿宋" w:eastAsia="仿宋" w:cs="仿宋"/>
          <w:b w:val="0"/>
          <w:bCs w:val="0"/>
          <w:kern w:val="2"/>
          <w:sz w:val="32"/>
          <w:szCs w:val="32"/>
          <w:lang w:val="en-US" w:eastAsia="zh-CN" w:bidi="ar-SA"/>
        </w:rPr>
        <w:t>可持续发展最高决策机构，负责审议可持续发展战略、重大政策制度，监督战略实施成效，确保可持续风险与机遇纳入整体决策体系。</w:t>
      </w:r>
    </w:p>
    <w:p>
      <w:pPr>
        <w:pStyle w:val="22"/>
        <w:keepNext w:val="0"/>
        <w:keepLines w:val="0"/>
        <w:pageBreakBefore w:val="0"/>
        <w:numPr>
          <w:ilvl w:val="0"/>
          <w:numId w:val="0"/>
        </w:numPr>
        <w:kinsoku/>
        <w:wordWrap/>
        <w:overflowPunct/>
        <w:topLinePunct w:val="0"/>
        <w:autoSpaceDE/>
        <w:autoSpaceDN/>
        <w:bidi w:val="0"/>
        <w:adjustRightInd/>
        <w:snapToGrid/>
        <w:spacing w:line="576" w:lineRule="exact"/>
        <w:ind w:leftChars="0" w:firstLine="643" w:firstLineChars="200"/>
        <w:textAlignment w:val="auto"/>
        <w:rPr>
          <w:rFonts w:hint="eastAsia" w:ascii="仿宋" w:hAnsi="仿宋" w:eastAsia="仿宋" w:cs="仿宋"/>
          <w:b w:val="0"/>
          <w:bCs w:val="0"/>
          <w:kern w:val="2"/>
          <w:sz w:val="32"/>
          <w:szCs w:val="32"/>
          <w:lang w:val="en-US" w:eastAsia="zh-CN" w:bidi="ar-SA"/>
        </w:rPr>
      </w:pPr>
      <w:r>
        <w:rPr>
          <w:rFonts w:hint="eastAsia" w:ascii="仿宋" w:hAnsi="仿宋" w:eastAsia="仿宋" w:cs="仿宋"/>
          <w:b/>
          <w:bCs/>
          <w:kern w:val="2"/>
          <w:sz w:val="32"/>
          <w:szCs w:val="32"/>
          <w:lang w:val="en-US" w:eastAsia="zh-CN" w:bidi="ar-SA"/>
        </w:rPr>
        <w:t>高管层层面</w:t>
      </w:r>
      <w:r>
        <w:rPr>
          <w:rFonts w:hint="eastAsia" w:ascii="仿宋" w:hAnsi="仿宋" w:eastAsia="仿宋" w:cs="仿宋"/>
          <w:b w:val="0"/>
          <w:bCs w:val="0"/>
          <w:kern w:val="2"/>
          <w:sz w:val="32"/>
          <w:szCs w:val="32"/>
          <w:lang w:val="en-US" w:eastAsia="zh-CN" w:bidi="ar-SA"/>
        </w:rPr>
        <w:t>：设立“五篇大文章”推进工作委员会，统筹落实可持续发展战略，协调跨部门工作推进与资源配置。</w:t>
      </w:r>
    </w:p>
    <w:p>
      <w:pPr>
        <w:pStyle w:val="22"/>
        <w:keepNext w:val="0"/>
        <w:keepLines w:val="0"/>
        <w:pageBreakBefore w:val="0"/>
        <w:numPr>
          <w:ilvl w:val="0"/>
          <w:numId w:val="0"/>
        </w:numPr>
        <w:kinsoku/>
        <w:wordWrap/>
        <w:overflowPunct/>
        <w:topLinePunct w:val="0"/>
        <w:autoSpaceDE/>
        <w:autoSpaceDN/>
        <w:bidi w:val="0"/>
        <w:adjustRightInd/>
        <w:snapToGrid/>
        <w:spacing w:line="576" w:lineRule="exact"/>
        <w:ind w:leftChars="0" w:firstLine="643" w:firstLineChars="200"/>
        <w:textAlignment w:val="auto"/>
        <w:rPr>
          <w:rFonts w:hint="default" w:ascii="仿宋" w:hAnsi="仿宋" w:eastAsia="仿宋" w:cs="仿宋"/>
          <w:b w:val="0"/>
          <w:bCs w:val="0"/>
          <w:kern w:val="2"/>
          <w:sz w:val="32"/>
          <w:szCs w:val="32"/>
          <w:lang w:val="en-US" w:eastAsia="zh-CN" w:bidi="ar-SA"/>
        </w:rPr>
      </w:pPr>
      <w:r>
        <w:rPr>
          <w:rFonts w:hint="eastAsia" w:ascii="仿宋" w:hAnsi="仿宋" w:eastAsia="仿宋" w:cs="仿宋"/>
          <w:b/>
          <w:bCs/>
          <w:kern w:val="2"/>
          <w:sz w:val="32"/>
          <w:szCs w:val="32"/>
          <w:lang w:val="en-US" w:eastAsia="zh-CN" w:bidi="ar-SA"/>
        </w:rPr>
        <w:t>条线部门层面</w:t>
      </w:r>
      <w:r>
        <w:rPr>
          <w:rFonts w:hint="eastAsia" w:ascii="仿宋" w:hAnsi="仿宋" w:eastAsia="仿宋" w:cs="仿宋"/>
          <w:b w:val="0"/>
          <w:bCs w:val="0"/>
          <w:kern w:val="2"/>
          <w:sz w:val="32"/>
          <w:szCs w:val="32"/>
          <w:lang w:val="en-US" w:eastAsia="zh-CN" w:bidi="ar-SA"/>
        </w:rPr>
        <w:t>：西藏银行建立了条线部门绿色金融分工体系，明确各专业部门核心职责，正在形成“决策统筹、牵头管理、风险防控、资源保障、业务落地”的全链条工作机制，具体如下：</w:t>
      </w:r>
    </w:p>
    <w:tbl>
      <w:tblPr>
        <w:tblStyle w:val="15"/>
        <w:tblpPr w:leftFromText="180" w:rightFromText="180" w:vertAnchor="text" w:horzAnchor="page" w:tblpX="1605" w:tblpY="384"/>
        <w:tblOverlap w:val="never"/>
        <w:tblW w:w="849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879"/>
        <w:gridCol w:w="661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1" w:hRule="atLeast"/>
        </w:trPr>
        <w:tc>
          <w:tcPr>
            <w:tcW w:w="187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center"/>
              <w:rPr>
                <w:rFonts w:hint="eastAsia" w:ascii="Arial" w:hAnsi="Arial" w:eastAsia="等线" w:cs="Arial"/>
                <w:b/>
                <w:bCs/>
                <w:sz w:val="22"/>
                <w:szCs w:val="22"/>
                <w:lang w:val="en-US" w:eastAsia="zh-CN"/>
              </w:rPr>
            </w:pPr>
            <w:r>
              <w:rPr>
                <w:rFonts w:hint="eastAsia" w:ascii="Arial" w:hAnsi="Arial" w:eastAsia="等线" w:cs="Arial"/>
                <w:b/>
                <w:bCs/>
                <w:sz w:val="22"/>
                <w:szCs w:val="22"/>
                <w:lang w:val="en-US" w:eastAsia="zh-CN"/>
              </w:rPr>
              <w:t>条线部门</w:t>
            </w:r>
          </w:p>
        </w:tc>
        <w:tc>
          <w:tcPr>
            <w:tcW w:w="661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center"/>
              <w:rPr>
                <w:rFonts w:hint="eastAsia" w:ascii="Arial" w:hAnsi="Arial" w:eastAsia="等线" w:cs="Arial"/>
                <w:b/>
                <w:bCs/>
                <w:sz w:val="22"/>
                <w:szCs w:val="22"/>
                <w:lang w:val="en-US" w:eastAsia="zh-CN"/>
              </w:rPr>
            </w:pPr>
            <w:r>
              <w:rPr>
                <w:rFonts w:hint="eastAsia" w:ascii="Arial" w:hAnsi="Arial" w:eastAsia="等线" w:cs="Arial"/>
                <w:b/>
                <w:bCs/>
                <w:sz w:val="22"/>
                <w:szCs w:val="22"/>
                <w:lang w:val="en-US" w:eastAsia="zh-CN"/>
              </w:rPr>
              <w:t>核心职责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7" w:hRule="atLeast"/>
        </w:trPr>
        <w:tc>
          <w:tcPr>
            <w:tcW w:w="187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center"/>
              <w:rPr>
                <w:rFonts w:hint="eastAsia" w:ascii="Arial" w:hAnsi="Arial" w:eastAsia="等线" w:cs="Arial"/>
                <w:sz w:val="22"/>
                <w:szCs w:val="22"/>
                <w:lang w:val="en-US" w:eastAsia="zh-CN"/>
              </w:rPr>
            </w:pPr>
            <w:r>
              <w:rPr>
                <w:rFonts w:hint="eastAsia" w:ascii="Arial" w:hAnsi="Arial" w:eastAsia="等线" w:cs="Arial"/>
                <w:sz w:val="22"/>
                <w:szCs w:val="22"/>
                <w:lang w:val="en-US" w:eastAsia="zh-CN"/>
              </w:rPr>
              <w:t>董事会办公室</w:t>
            </w:r>
          </w:p>
        </w:tc>
        <w:tc>
          <w:tcPr>
            <w:tcW w:w="6611"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center"/>
              <w:rPr>
                <w:rFonts w:hint="eastAsia" w:ascii="Arial" w:hAnsi="Arial" w:eastAsia="等线" w:cs="Arial"/>
                <w:sz w:val="22"/>
                <w:szCs w:val="22"/>
                <w:lang w:val="en-US" w:eastAsia="zh-CN"/>
              </w:rPr>
            </w:pPr>
            <w:r>
              <w:rPr>
                <w:rFonts w:hint="eastAsia" w:ascii="Arial" w:hAnsi="Arial" w:eastAsia="等线" w:cs="Arial"/>
                <w:sz w:val="22"/>
                <w:szCs w:val="22"/>
                <w:lang w:val="en-US" w:eastAsia="zh-CN"/>
              </w:rPr>
              <w:t>可持续发展最高决策机构，统筹审议绿色金融战略、ESG目标，将绿色发展纳入全行长期战略规划，监督战略落地成效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1" w:hRule="atLeast"/>
        </w:trPr>
        <w:tc>
          <w:tcPr>
            <w:tcW w:w="187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center"/>
              <w:rPr>
                <w:rFonts w:hint="eastAsia" w:ascii="Arial" w:hAnsi="Arial" w:eastAsia="等线" w:cs="Arial"/>
                <w:sz w:val="22"/>
                <w:szCs w:val="22"/>
                <w:lang w:val="en-US" w:eastAsia="zh-CN"/>
              </w:rPr>
            </w:pPr>
            <w:r>
              <w:rPr>
                <w:rFonts w:hint="eastAsia" w:ascii="Arial" w:hAnsi="Arial" w:eastAsia="等线" w:cs="Arial"/>
                <w:sz w:val="22"/>
                <w:szCs w:val="22"/>
                <w:lang w:val="en-US" w:eastAsia="zh-CN"/>
              </w:rPr>
              <w:t>信贷管理部</w:t>
            </w:r>
          </w:p>
        </w:tc>
        <w:tc>
          <w:tcPr>
            <w:tcW w:w="661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center"/>
              <w:rPr>
                <w:rFonts w:hint="eastAsia" w:ascii="Arial" w:hAnsi="Arial" w:eastAsia="等线" w:cs="Arial"/>
                <w:sz w:val="22"/>
                <w:szCs w:val="22"/>
                <w:lang w:val="en-US" w:eastAsia="zh-CN"/>
              </w:rPr>
            </w:pPr>
            <w:r>
              <w:rPr>
                <w:rFonts w:hint="eastAsia" w:ascii="Arial" w:hAnsi="Arial" w:eastAsia="等线" w:cs="Arial"/>
                <w:sz w:val="22"/>
                <w:szCs w:val="22"/>
                <w:lang w:val="en-US" w:eastAsia="zh-CN"/>
              </w:rPr>
              <w:t>绿色金融业务总牵头部门，统筹全行绿色信贷全流程管理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1" w:hRule="atLeast"/>
        </w:trPr>
        <w:tc>
          <w:tcPr>
            <w:tcW w:w="187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center"/>
              <w:rPr>
                <w:rFonts w:hint="eastAsia" w:ascii="Arial" w:hAnsi="Arial" w:eastAsia="等线" w:cs="Arial"/>
                <w:sz w:val="22"/>
                <w:szCs w:val="22"/>
                <w:lang w:val="en-US" w:eastAsia="zh-CN"/>
              </w:rPr>
            </w:pPr>
            <w:r>
              <w:rPr>
                <w:rFonts w:hint="eastAsia" w:ascii="Arial" w:hAnsi="Arial" w:eastAsia="等线" w:cs="Arial"/>
                <w:sz w:val="22"/>
                <w:szCs w:val="22"/>
                <w:lang w:val="en-US" w:eastAsia="zh-CN"/>
              </w:rPr>
              <w:t>总行办公室</w:t>
            </w:r>
          </w:p>
        </w:tc>
        <w:tc>
          <w:tcPr>
            <w:tcW w:w="661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center"/>
              <w:rPr>
                <w:rFonts w:hint="eastAsia" w:ascii="Arial" w:hAnsi="Arial" w:eastAsia="等线" w:cs="Arial"/>
                <w:sz w:val="22"/>
                <w:szCs w:val="22"/>
                <w:lang w:val="en-US" w:eastAsia="zh-CN"/>
              </w:rPr>
            </w:pPr>
            <w:r>
              <w:rPr>
                <w:rFonts w:hint="eastAsia" w:ascii="Arial" w:hAnsi="Arial" w:eastAsia="等线" w:cs="Arial"/>
                <w:sz w:val="22"/>
                <w:szCs w:val="22"/>
                <w:lang w:val="en-US" w:eastAsia="zh-CN"/>
              </w:rPr>
              <w:t>统筹全行绿色运营、绿色采购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1" w:hRule="atLeast"/>
        </w:trPr>
        <w:tc>
          <w:tcPr>
            <w:tcW w:w="187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center"/>
              <w:rPr>
                <w:rFonts w:hint="eastAsia" w:ascii="Arial" w:hAnsi="Arial" w:eastAsia="等线" w:cs="Arial"/>
                <w:sz w:val="22"/>
                <w:szCs w:val="22"/>
                <w:lang w:val="en-US" w:eastAsia="zh-CN"/>
              </w:rPr>
            </w:pPr>
            <w:r>
              <w:rPr>
                <w:rFonts w:hint="eastAsia" w:ascii="Arial" w:hAnsi="Arial" w:eastAsia="等线" w:cs="Arial"/>
                <w:sz w:val="22"/>
                <w:szCs w:val="22"/>
                <w:lang w:val="en-US" w:eastAsia="zh-CN"/>
              </w:rPr>
              <w:t>风险管理部</w:t>
            </w:r>
          </w:p>
        </w:tc>
        <w:tc>
          <w:tcPr>
            <w:tcW w:w="661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center"/>
              <w:rPr>
                <w:rFonts w:hint="eastAsia" w:ascii="Arial" w:hAnsi="Arial" w:eastAsia="等线" w:cs="Arial"/>
                <w:sz w:val="22"/>
                <w:szCs w:val="22"/>
                <w:lang w:val="en-US" w:eastAsia="zh-CN"/>
              </w:rPr>
            </w:pPr>
            <w:r>
              <w:rPr>
                <w:rFonts w:hint="eastAsia" w:ascii="Arial" w:hAnsi="Arial" w:eastAsia="等线" w:cs="Arial"/>
                <w:sz w:val="22"/>
                <w:szCs w:val="22"/>
                <w:lang w:val="en-US" w:eastAsia="zh-CN"/>
              </w:rPr>
              <w:t>可持续风险全流程识别、评估与管控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1" w:hRule="atLeast"/>
        </w:trPr>
        <w:tc>
          <w:tcPr>
            <w:tcW w:w="187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center"/>
              <w:rPr>
                <w:rFonts w:hint="eastAsia" w:ascii="Arial" w:hAnsi="Arial" w:eastAsia="等线" w:cs="Arial"/>
                <w:sz w:val="22"/>
                <w:szCs w:val="22"/>
                <w:lang w:val="en-US" w:eastAsia="zh-CN"/>
              </w:rPr>
            </w:pPr>
            <w:r>
              <w:rPr>
                <w:rFonts w:hint="eastAsia" w:ascii="Arial" w:hAnsi="Arial" w:eastAsia="等线" w:cs="Arial"/>
                <w:sz w:val="22"/>
                <w:szCs w:val="22"/>
                <w:lang w:val="en-US" w:eastAsia="zh-CN"/>
              </w:rPr>
              <w:t>财务会计部</w:t>
            </w:r>
          </w:p>
        </w:tc>
        <w:tc>
          <w:tcPr>
            <w:tcW w:w="661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center"/>
              <w:rPr>
                <w:rFonts w:hint="eastAsia" w:ascii="Arial" w:hAnsi="Arial" w:eastAsia="等线" w:cs="Arial"/>
                <w:sz w:val="22"/>
                <w:szCs w:val="22"/>
                <w:lang w:val="en-US" w:eastAsia="zh-CN"/>
              </w:rPr>
            </w:pPr>
            <w:r>
              <w:rPr>
                <w:rFonts w:hint="eastAsia" w:ascii="Arial" w:hAnsi="Arial" w:eastAsia="等线" w:cs="Arial"/>
                <w:sz w:val="22"/>
                <w:szCs w:val="22"/>
                <w:lang w:val="en-US" w:eastAsia="zh-CN"/>
              </w:rPr>
              <w:t>绿色金融政策配套支持与考核激励落地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1" w:hRule="atLeast"/>
        </w:trPr>
        <w:tc>
          <w:tcPr>
            <w:tcW w:w="187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center"/>
              <w:rPr>
                <w:rFonts w:hint="eastAsia" w:ascii="Arial" w:hAnsi="Arial" w:eastAsia="等线" w:cs="Arial"/>
                <w:sz w:val="22"/>
                <w:szCs w:val="22"/>
                <w:lang w:val="en-US" w:eastAsia="zh-CN"/>
              </w:rPr>
            </w:pPr>
            <w:r>
              <w:rPr>
                <w:rFonts w:hint="eastAsia" w:ascii="Arial" w:hAnsi="Arial" w:eastAsia="等线" w:cs="Arial"/>
                <w:sz w:val="22"/>
                <w:szCs w:val="22"/>
                <w:lang w:val="en-US" w:eastAsia="zh-CN"/>
              </w:rPr>
              <w:t>人力资源部</w:t>
            </w:r>
          </w:p>
        </w:tc>
        <w:tc>
          <w:tcPr>
            <w:tcW w:w="661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center"/>
              <w:rPr>
                <w:rFonts w:hint="eastAsia" w:ascii="Arial" w:hAnsi="Arial" w:eastAsia="等线" w:cs="Arial"/>
                <w:sz w:val="22"/>
                <w:szCs w:val="22"/>
                <w:lang w:val="en-US" w:eastAsia="zh-CN"/>
              </w:rPr>
            </w:pPr>
            <w:r>
              <w:rPr>
                <w:rFonts w:hint="eastAsia" w:ascii="Arial" w:hAnsi="Arial" w:eastAsia="等线" w:cs="Arial"/>
                <w:sz w:val="22"/>
                <w:szCs w:val="22"/>
                <w:lang w:val="en-US" w:eastAsia="zh-CN"/>
              </w:rPr>
              <w:t>绿色金融人才建设与组织保障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1" w:hRule="atLeast"/>
        </w:trPr>
        <w:tc>
          <w:tcPr>
            <w:tcW w:w="187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center"/>
              <w:rPr>
                <w:rFonts w:hint="eastAsia" w:ascii="Arial" w:hAnsi="Arial" w:eastAsia="等线" w:cs="Arial"/>
                <w:sz w:val="22"/>
                <w:szCs w:val="22"/>
                <w:lang w:val="en-US" w:eastAsia="zh-CN"/>
              </w:rPr>
            </w:pPr>
            <w:r>
              <w:rPr>
                <w:rFonts w:hint="eastAsia" w:ascii="Arial" w:hAnsi="Arial" w:eastAsia="等线" w:cs="Arial"/>
                <w:sz w:val="22"/>
                <w:szCs w:val="22"/>
                <w:lang w:val="en-US" w:eastAsia="zh-CN"/>
              </w:rPr>
              <w:t>公司业务管理部</w:t>
            </w:r>
          </w:p>
        </w:tc>
        <w:tc>
          <w:tcPr>
            <w:tcW w:w="661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center"/>
              <w:rPr>
                <w:rFonts w:hint="eastAsia" w:ascii="Arial" w:hAnsi="Arial" w:eastAsia="等线" w:cs="Arial"/>
                <w:sz w:val="22"/>
                <w:szCs w:val="22"/>
                <w:lang w:val="en-US" w:eastAsia="zh-CN"/>
              </w:rPr>
            </w:pPr>
            <w:r>
              <w:rPr>
                <w:rFonts w:hint="eastAsia" w:ascii="Arial" w:hAnsi="Arial" w:eastAsia="等线" w:cs="Arial"/>
                <w:sz w:val="22"/>
                <w:szCs w:val="22"/>
                <w:lang w:val="en-US" w:eastAsia="zh-CN"/>
              </w:rPr>
              <w:t>对公类绿色金融产品创新与业务拓展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1" w:hRule="atLeast"/>
        </w:trPr>
        <w:tc>
          <w:tcPr>
            <w:tcW w:w="187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center"/>
              <w:rPr>
                <w:rFonts w:hint="eastAsia" w:ascii="Arial" w:hAnsi="Arial" w:eastAsia="等线" w:cs="Arial"/>
                <w:sz w:val="22"/>
                <w:szCs w:val="22"/>
                <w:lang w:val="en-US" w:eastAsia="zh-CN"/>
              </w:rPr>
            </w:pPr>
            <w:r>
              <w:rPr>
                <w:rFonts w:hint="eastAsia" w:ascii="Arial" w:hAnsi="Arial" w:eastAsia="等线" w:cs="Arial"/>
                <w:sz w:val="22"/>
                <w:szCs w:val="22"/>
                <w:lang w:val="en-US" w:eastAsia="zh-CN"/>
              </w:rPr>
              <w:t>个人业务部</w:t>
            </w:r>
          </w:p>
        </w:tc>
        <w:tc>
          <w:tcPr>
            <w:tcW w:w="661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center"/>
              <w:rPr>
                <w:rFonts w:hint="eastAsia" w:ascii="Arial" w:hAnsi="Arial" w:eastAsia="等线" w:cs="Arial"/>
                <w:sz w:val="22"/>
                <w:szCs w:val="22"/>
                <w:lang w:val="en-US" w:eastAsia="zh-CN"/>
              </w:rPr>
            </w:pPr>
            <w:r>
              <w:rPr>
                <w:rFonts w:hint="eastAsia" w:ascii="Arial" w:hAnsi="Arial" w:eastAsia="等线" w:cs="Arial"/>
                <w:sz w:val="22"/>
                <w:szCs w:val="22"/>
                <w:lang w:val="en-US" w:eastAsia="zh-CN"/>
              </w:rPr>
              <w:t>对私类绿色金融产品创新与客户服务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1" w:hRule="atLeast"/>
        </w:trPr>
        <w:tc>
          <w:tcPr>
            <w:tcW w:w="187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center"/>
              <w:rPr>
                <w:rFonts w:hint="eastAsia" w:ascii="Arial" w:hAnsi="Arial" w:eastAsia="等线" w:cs="Arial"/>
                <w:sz w:val="22"/>
                <w:szCs w:val="22"/>
                <w:lang w:val="en-US" w:eastAsia="zh-CN"/>
              </w:rPr>
            </w:pPr>
            <w:r>
              <w:rPr>
                <w:rFonts w:hint="eastAsia" w:ascii="Arial" w:hAnsi="Arial" w:eastAsia="等线" w:cs="Arial"/>
                <w:sz w:val="22"/>
                <w:szCs w:val="22"/>
                <w:lang w:val="en-US" w:eastAsia="zh-CN"/>
              </w:rPr>
              <w:t>金融市场部</w:t>
            </w:r>
          </w:p>
        </w:tc>
        <w:tc>
          <w:tcPr>
            <w:tcW w:w="6611"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center"/>
              <w:rPr>
                <w:rFonts w:hint="eastAsia" w:ascii="Arial" w:hAnsi="Arial" w:eastAsia="等线" w:cs="Arial"/>
                <w:sz w:val="22"/>
                <w:szCs w:val="22"/>
                <w:lang w:val="en-US" w:eastAsia="zh-CN"/>
              </w:rPr>
            </w:pPr>
            <w:r>
              <w:rPr>
                <w:rFonts w:hint="eastAsia" w:ascii="Arial" w:hAnsi="Arial" w:eastAsia="等线" w:cs="Arial"/>
                <w:sz w:val="22"/>
                <w:szCs w:val="22"/>
                <w:lang w:val="en-US" w:eastAsia="zh-CN"/>
              </w:rPr>
              <w:t>绿色债券、碳金融等非信贷绿色业务管理</w:t>
            </w:r>
          </w:p>
        </w:tc>
      </w:tr>
    </w:tbl>
    <w:p>
      <w:pPr>
        <w:pStyle w:val="22"/>
        <w:keepNext w:val="0"/>
        <w:keepLines w:val="0"/>
        <w:pageBreakBefore w:val="0"/>
        <w:numPr>
          <w:ilvl w:val="0"/>
          <w:numId w:val="0"/>
        </w:numPr>
        <w:kinsoku/>
        <w:wordWrap/>
        <w:overflowPunct/>
        <w:topLinePunct w:val="0"/>
        <w:autoSpaceDE/>
        <w:autoSpaceDN/>
        <w:bidi w:val="0"/>
        <w:adjustRightInd/>
        <w:snapToGrid/>
        <w:spacing w:line="576" w:lineRule="exact"/>
        <w:ind w:leftChars="0" w:firstLine="640" w:firstLineChars="200"/>
        <w:textAlignment w:val="auto"/>
        <w:rPr>
          <w:rFonts w:hint="eastAsia" w:ascii="仿宋" w:hAnsi="仿宋" w:eastAsia="仿宋" w:cs="仿宋"/>
          <w:b w:val="0"/>
          <w:bCs w:val="0"/>
          <w:kern w:val="2"/>
          <w:sz w:val="32"/>
          <w:szCs w:val="32"/>
          <w:lang w:val="en-US" w:eastAsia="zh-CN" w:bidi="ar-SA"/>
        </w:rPr>
      </w:pPr>
    </w:p>
    <w:p>
      <w:pPr>
        <w:pStyle w:val="22"/>
        <w:keepNext w:val="0"/>
        <w:keepLines w:val="0"/>
        <w:pageBreakBefore w:val="0"/>
        <w:numPr>
          <w:ilvl w:val="0"/>
          <w:numId w:val="0"/>
        </w:numPr>
        <w:kinsoku/>
        <w:wordWrap/>
        <w:overflowPunct/>
        <w:topLinePunct w:val="0"/>
        <w:autoSpaceDE/>
        <w:autoSpaceDN/>
        <w:bidi w:val="0"/>
        <w:adjustRightInd/>
        <w:snapToGrid/>
        <w:spacing w:line="576" w:lineRule="exact"/>
        <w:ind w:leftChars="0" w:firstLine="643" w:firstLineChars="200"/>
        <w:textAlignment w:val="auto"/>
        <w:rPr>
          <w:rFonts w:hint="default" w:ascii="仿宋" w:hAnsi="仿宋" w:eastAsia="仿宋" w:cs="仿宋"/>
          <w:b w:val="0"/>
          <w:bCs w:val="0"/>
          <w:kern w:val="2"/>
          <w:sz w:val="32"/>
          <w:szCs w:val="32"/>
          <w:lang w:val="en-US" w:eastAsia="zh-CN" w:bidi="ar-SA"/>
        </w:rPr>
      </w:pPr>
      <w:r>
        <w:rPr>
          <w:rFonts w:hint="eastAsia" w:ascii="仿宋" w:hAnsi="仿宋" w:eastAsia="仿宋" w:cs="仿宋"/>
          <w:b/>
          <w:bCs/>
          <w:kern w:val="2"/>
          <w:sz w:val="32"/>
          <w:szCs w:val="32"/>
          <w:lang w:val="en-US" w:eastAsia="zh-CN" w:bidi="ar-SA"/>
        </w:rPr>
        <w:t>经营机构层面</w:t>
      </w:r>
      <w:r>
        <w:t>：</w:t>
      </w:r>
      <w:r>
        <w:rPr>
          <w:rFonts w:hint="eastAsia" w:ascii="仿宋" w:hAnsi="仿宋" w:eastAsia="仿宋" w:cs="仿宋"/>
          <w:b w:val="0"/>
          <w:bCs w:val="0"/>
          <w:kern w:val="2"/>
          <w:sz w:val="32"/>
          <w:szCs w:val="32"/>
          <w:lang w:val="en-US" w:eastAsia="zh-CN" w:bidi="ar-SA"/>
        </w:rPr>
        <w:t>各经营机构负责绿色信贷业务的落地与属地执行、各经营机构指定绿色金融联系人，我行米林支行作为“碳中和建筑”网点标杆。</w:t>
      </w:r>
    </w:p>
    <w:p>
      <w:pPr>
        <w:pStyle w:val="5"/>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楷体" w:hAnsi="楷体" w:eastAsia="楷体" w:cs="楷体"/>
          <w:b w:val="0"/>
          <w:bCs w:val="0"/>
          <w:kern w:val="2"/>
          <w:sz w:val="32"/>
          <w:szCs w:val="32"/>
          <w:lang w:val="en-US" w:eastAsia="zh-CN" w:bidi="ar-SA"/>
        </w:rPr>
      </w:pPr>
      <w:r>
        <w:rPr>
          <w:rFonts w:hint="eastAsia" w:ascii="楷体" w:hAnsi="楷体" w:eastAsia="楷体" w:cs="楷体"/>
          <w:b w:val="0"/>
          <w:bCs w:val="0"/>
          <w:kern w:val="2"/>
          <w:sz w:val="32"/>
          <w:szCs w:val="32"/>
          <w:lang w:val="en-US" w:eastAsia="zh-CN" w:bidi="ar-SA"/>
        </w:rPr>
        <w:t>4.2 治理活动与履职情况</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left"/>
        <w:textAlignment w:val="auto"/>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定期召开“五篇大文章”推进工作委员会会议，审议通过《绿色金融行动方案（2025-2027年）》。建立差异化绩效考核体系，高管考核中绿色金融占比6%、管理部门占比4%、经营机构占比1%，将绿色信贷规模、产品创新等等核心指标纳入考核评价。</w:t>
      </w:r>
    </w:p>
    <w:p>
      <w:pPr>
        <w:pStyle w:val="5"/>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楷体" w:hAnsi="楷体" w:eastAsia="楷体" w:cs="楷体"/>
          <w:b w:val="0"/>
          <w:bCs w:val="0"/>
          <w:kern w:val="2"/>
          <w:sz w:val="32"/>
          <w:szCs w:val="32"/>
          <w:lang w:val="en-US" w:eastAsia="zh-CN" w:bidi="ar-SA"/>
        </w:rPr>
      </w:pPr>
      <w:r>
        <w:rPr>
          <w:rFonts w:hint="eastAsia" w:ascii="楷体" w:hAnsi="楷体" w:eastAsia="楷体" w:cs="楷体"/>
          <w:b w:val="0"/>
          <w:bCs w:val="0"/>
          <w:kern w:val="2"/>
          <w:sz w:val="32"/>
          <w:szCs w:val="32"/>
          <w:lang w:val="en-US" w:eastAsia="zh-CN" w:bidi="ar-SA"/>
        </w:rPr>
        <w:t>4.3 能力建设与资源配置</w:t>
      </w:r>
    </w:p>
    <w:p>
      <w:pPr>
        <w:pStyle w:val="22"/>
        <w:keepNext w:val="0"/>
        <w:keepLines w:val="0"/>
        <w:pageBreakBefore w:val="0"/>
        <w:widowControl/>
        <w:numPr>
          <w:ilvl w:val="0"/>
          <w:numId w:val="0"/>
        </w:numPr>
        <w:kinsoku/>
        <w:wordWrap/>
        <w:overflowPunct/>
        <w:topLinePunct w:val="0"/>
        <w:autoSpaceDE/>
        <w:autoSpaceDN/>
        <w:bidi w:val="0"/>
        <w:adjustRightInd/>
        <w:snapToGrid/>
        <w:spacing w:line="576" w:lineRule="exact"/>
        <w:ind w:leftChars="0" w:firstLine="640" w:firstLineChars="200"/>
        <w:textAlignment w:val="auto"/>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各经营机构设绿色金融宣导员，结合“世界环境日”等节点，通过网点LED滚动播放、上门宣传等方式开展绿色金融政策、产品的宣传。</w:t>
      </w:r>
    </w:p>
    <w:p>
      <w:pPr>
        <w:pStyle w:val="22"/>
        <w:keepNext w:val="0"/>
        <w:keepLines w:val="0"/>
        <w:pageBreakBefore w:val="0"/>
        <w:widowControl/>
        <w:numPr>
          <w:ilvl w:val="0"/>
          <w:numId w:val="0"/>
        </w:numPr>
        <w:kinsoku/>
        <w:wordWrap/>
        <w:overflowPunct/>
        <w:topLinePunct w:val="0"/>
        <w:autoSpaceDE/>
        <w:autoSpaceDN/>
        <w:bidi w:val="0"/>
        <w:adjustRightInd/>
        <w:snapToGrid/>
        <w:spacing w:line="576" w:lineRule="exact"/>
        <w:ind w:leftChars="0" w:firstLine="640" w:firstLineChars="200"/>
        <w:textAlignment w:val="auto"/>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重点围绕《绿色金融支持项目目录》及《生物多样性金融目录》、《西藏金融机构绿色金融评估方案（试行）》《西藏金监局办公室关于调整绿色金融评价指标的通知》等监管文件及行业研究的开展专题培训研讨，确保从业人员准确掌握政策要求，提升绿色金融服务能力。</w:t>
      </w:r>
    </w:p>
    <w:p>
      <w:pPr>
        <w:pStyle w:val="22"/>
        <w:keepNext w:val="0"/>
        <w:keepLines w:val="0"/>
        <w:pageBreakBefore w:val="0"/>
        <w:widowControl/>
        <w:numPr>
          <w:ilvl w:val="0"/>
          <w:numId w:val="0"/>
        </w:numPr>
        <w:kinsoku/>
        <w:wordWrap/>
        <w:overflowPunct/>
        <w:topLinePunct w:val="0"/>
        <w:autoSpaceDE/>
        <w:autoSpaceDN/>
        <w:bidi w:val="0"/>
        <w:adjustRightInd/>
        <w:snapToGrid/>
        <w:spacing w:line="576" w:lineRule="exact"/>
        <w:ind w:leftChars="0" w:firstLine="640" w:firstLineChars="200"/>
        <w:textAlignment w:val="auto"/>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本行“藏银学堂”等移动学习平台开设《绿色金融的现实与未来》《产业投资趋势与ESG投资逻辑》《四大绿色产业“新能源汽车、低空经济、锂电池、氢能授信策略及业务机遇》《绿色金融——商业银行气候变化投资发展机遇与挑战》等课程，覆盖员工630余人次，强化对绿色金融的理解认识，助力“双碳”目标与高质量发展协同共进。</w:t>
      </w:r>
    </w:p>
    <w:p>
      <w:pPr>
        <w:pStyle w:val="22"/>
        <w:keepNext w:val="0"/>
        <w:keepLines w:val="0"/>
        <w:pageBreakBefore w:val="0"/>
        <w:widowControl/>
        <w:numPr>
          <w:ilvl w:val="0"/>
          <w:numId w:val="0"/>
        </w:numPr>
        <w:kinsoku/>
        <w:wordWrap/>
        <w:overflowPunct/>
        <w:topLinePunct w:val="0"/>
        <w:autoSpaceDE/>
        <w:autoSpaceDN/>
        <w:bidi w:val="0"/>
        <w:adjustRightInd/>
        <w:snapToGrid/>
        <w:spacing w:line="576" w:lineRule="exact"/>
        <w:ind w:leftChars="0" w:firstLine="640" w:firstLineChars="200"/>
        <w:textAlignment w:val="auto"/>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 xml:space="preserve">各支部围绕贯彻落实绿色发展理念，增强党员群众生态环保意识，开展“践行绿色理念守护美丽家园”等主题党日活动3次。 </w:t>
      </w:r>
    </w:p>
    <w:p>
      <w:pPr>
        <w:pStyle w:val="22"/>
        <w:keepNext w:val="0"/>
        <w:keepLines w:val="0"/>
        <w:pageBreakBefore w:val="0"/>
        <w:widowControl/>
        <w:numPr>
          <w:ilvl w:val="0"/>
          <w:numId w:val="0"/>
        </w:numPr>
        <w:kinsoku/>
        <w:wordWrap/>
        <w:overflowPunct/>
        <w:topLinePunct w:val="0"/>
        <w:autoSpaceDE/>
        <w:autoSpaceDN/>
        <w:bidi w:val="0"/>
        <w:adjustRightInd/>
        <w:snapToGrid/>
        <w:spacing w:line="576" w:lineRule="exact"/>
        <w:ind w:leftChars="0" w:firstLine="640" w:firstLineChars="200"/>
        <w:textAlignment w:val="auto"/>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专项配置绿色金融工作经费达6万元，主要用于碳中和网点建设。</w:t>
      </w:r>
    </w:p>
    <w:p>
      <w:pPr>
        <w:pStyle w:val="22"/>
        <w:keepNext w:val="0"/>
        <w:keepLines w:val="0"/>
        <w:pageBreakBefore w:val="0"/>
        <w:widowControl/>
        <w:numPr>
          <w:ilvl w:val="0"/>
          <w:numId w:val="0"/>
        </w:numPr>
        <w:kinsoku/>
        <w:wordWrap/>
        <w:overflowPunct/>
        <w:topLinePunct w:val="0"/>
        <w:autoSpaceDE/>
        <w:autoSpaceDN/>
        <w:bidi w:val="0"/>
        <w:adjustRightInd/>
        <w:snapToGrid/>
        <w:spacing w:line="576" w:lineRule="exact"/>
        <w:ind w:leftChars="0" w:firstLine="640" w:firstLineChars="200"/>
        <w:textAlignment w:val="auto"/>
        <w:rPr>
          <w:rFonts w:hint="eastAsia" w:ascii="黑体" w:hAnsi="黑体" w:eastAsia="黑体" w:cs="黑体"/>
          <w:b w:val="0"/>
          <w:bCs w:val="0"/>
          <w:kern w:val="2"/>
          <w:sz w:val="32"/>
          <w:szCs w:val="32"/>
          <w:lang w:val="en-US" w:eastAsia="zh-CN" w:bidi="ar-SA"/>
        </w:rPr>
      </w:pPr>
    </w:p>
    <w:p>
      <w:pPr>
        <w:pStyle w:val="22"/>
        <w:keepNext w:val="0"/>
        <w:keepLines w:val="0"/>
        <w:pageBreakBefore w:val="0"/>
        <w:widowControl/>
        <w:numPr>
          <w:ilvl w:val="0"/>
          <w:numId w:val="0"/>
        </w:numPr>
        <w:kinsoku/>
        <w:wordWrap/>
        <w:overflowPunct/>
        <w:topLinePunct w:val="0"/>
        <w:autoSpaceDE/>
        <w:autoSpaceDN/>
        <w:bidi w:val="0"/>
        <w:adjustRightInd/>
        <w:snapToGrid/>
        <w:spacing w:line="576" w:lineRule="exact"/>
        <w:ind w:leftChars="0" w:firstLine="640" w:firstLineChars="200"/>
        <w:textAlignment w:val="auto"/>
        <w:rPr>
          <w:rFonts w:hint="eastAsia" w:ascii="黑体" w:hAnsi="黑体" w:eastAsia="黑体" w:cs="黑体"/>
          <w:b w:val="0"/>
          <w:bCs w:val="0"/>
          <w:kern w:val="2"/>
          <w:sz w:val="32"/>
          <w:szCs w:val="32"/>
          <w:lang w:val="en-US" w:eastAsia="zh-CN" w:bidi="ar-SA"/>
        </w:rPr>
      </w:pPr>
      <w:r>
        <w:rPr>
          <w:rFonts w:hint="eastAsia" w:ascii="黑体" w:hAnsi="黑体" w:eastAsia="黑体" w:cs="黑体"/>
          <w:b w:val="0"/>
          <w:bCs w:val="0"/>
          <w:kern w:val="2"/>
          <w:sz w:val="32"/>
          <w:szCs w:val="32"/>
          <w:lang w:val="en-US" w:eastAsia="zh-CN" w:bidi="ar-SA"/>
        </w:rPr>
        <w:t>五、政策制度</w:t>
      </w:r>
    </w:p>
    <w:p>
      <w:pPr>
        <w:pStyle w:val="5"/>
        <w:keepNext w:val="0"/>
        <w:keepLines w:val="0"/>
        <w:pageBreakBefore w:val="0"/>
        <w:widowControl/>
        <w:kinsoku/>
        <w:wordWrap/>
        <w:overflowPunct/>
        <w:topLinePunct w:val="0"/>
        <w:autoSpaceDE/>
        <w:autoSpaceDN/>
        <w:bidi w:val="0"/>
        <w:adjustRightInd/>
        <w:snapToGrid/>
        <w:spacing w:line="576" w:lineRule="exact"/>
        <w:ind w:firstLine="640" w:firstLineChars="200"/>
        <w:textAlignment w:val="auto"/>
        <w:rPr>
          <w:rFonts w:hint="eastAsia" w:ascii="楷体" w:hAnsi="楷体" w:eastAsia="楷体" w:cs="楷体"/>
          <w:b w:val="0"/>
          <w:bCs w:val="0"/>
          <w:kern w:val="2"/>
          <w:sz w:val="32"/>
          <w:szCs w:val="32"/>
          <w:lang w:val="en-US" w:eastAsia="zh-CN" w:bidi="ar-SA"/>
        </w:rPr>
      </w:pPr>
      <w:r>
        <w:rPr>
          <w:rFonts w:hint="eastAsia" w:ascii="楷体" w:hAnsi="楷体" w:eastAsia="楷体" w:cs="楷体"/>
          <w:b w:val="0"/>
          <w:bCs w:val="0"/>
          <w:kern w:val="2"/>
          <w:sz w:val="32"/>
          <w:szCs w:val="32"/>
          <w:lang w:val="en-US" w:eastAsia="zh-CN" w:bidi="ar-SA"/>
        </w:rPr>
        <w:t>5.1 绿色投融资政策</w:t>
      </w:r>
    </w:p>
    <w:p>
      <w:pPr>
        <w:pStyle w:val="22"/>
        <w:keepNext w:val="0"/>
        <w:keepLines w:val="0"/>
        <w:pageBreakBefore w:val="0"/>
        <w:numPr>
          <w:ilvl w:val="0"/>
          <w:numId w:val="0"/>
        </w:numPr>
        <w:kinsoku/>
        <w:wordWrap/>
        <w:overflowPunct/>
        <w:topLinePunct w:val="0"/>
        <w:autoSpaceDE/>
        <w:autoSpaceDN/>
        <w:bidi w:val="0"/>
        <w:adjustRightInd/>
        <w:snapToGrid/>
        <w:spacing w:line="576" w:lineRule="exact"/>
        <w:ind w:leftChars="0" w:firstLine="640" w:firstLineChars="200"/>
        <w:textAlignment w:val="auto"/>
        <w:rPr>
          <w:rFonts w:hint="default"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印发《2025年授信工作指引》，明确绿色信贷优先准入原则，从严把控授信环节环保安全风险。</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left"/>
        <w:textAlignment w:val="auto"/>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印发《西藏银行绿色金融行动方案（2025-2027 年）》，明确未来三年绿色金融发展目标、重点领域与实施路径，构建战略规划、业务指引、风险管控一体化制度体系。</w:t>
      </w:r>
    </w:p>
    <w:p>
      <w:pPr>
        <w:pStyle w:val="5"/>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楷体" w:hAnsi="楷体" w:eastAsia="楷体" w:cs="楷体"/>
          <w:b w:val="0"/>
          <w:bCs w:val="0"/>
          <w:kern w:val="2"/>
          <w:sz w:val="32"/>
          <w:szCs w:val="32"/>
          <w:lang w:val="en-US" w:eastAsia="zh-CN" w:bidi="ar-SA"/>
        </w:rPr>
      </w:pPr>
      <w:r>
        <w:rPr>
          <w:rFonts w:hint="eastAsia" w:ascii="楷体" w:hAnsi="楷体" w:eastAsia="楷体" w:cs="楷体"/>
          <w:b w:val="0"/>
          <w:bCs w:val="0"/>
          <w:kern w:val="2"/>
          <w:sz w:val="32"/>
          <w:szCs w:val="32"/>
          <w:lang w:val="en-US" w:eastAsia="zh-CN" w:bidi="ar-SA"/>
        </w:rPr>
        <w:t>5.2 环境风险管理政策</w:t>
      </w:r>
    </w:p>
    <w:p>
      <w:pPr>
        <w:pStyle w:val="22"/>
        <w:keepNext w:val="0"/>
        <w:keepLines w:val="0"/>
        <w:pageBreakBefore w:val="0"/>
        <w:numPr>
          <w:ilvl w:val="0"/>
          <w:numId w:val="0"/>
        </w:numPr>
        <w:kinsoku/>
        <w:wordWrap/>
        <w:overflowPunct/>
        <w:topLinePunct w:val="0"/>
        <w:autoSpaceDE/>
        <w:autoSpaceDN/>
        <w:bidi w:val="0"/>
        <w:adjustRightInd/>
        <w:snapToGrid/>
        <w:spacing w:line="576" w:lineRule="exact"/>
        <w:ind w:leftChars="0" w:firstLine="640" w:firstLineChars="200"/>
        <w:textAlignment w:val="auto"/>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出台《西藏银行股份有限公司绿色金融行动方案（2025-2027年）》，明确加强ESG风险管理，加强环境与社会风险排查。</w:t>
      </w:r>
    </w:p>
    <w:p>
      <w:pPr>
        <w:pStyle w:val="5"/>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楷体" w:hAnsi="楷体" w:eastAsia="楷体" w:cs="楷体"/>
          <w:b w:val="0"/>
          <w:bCs w:val="0"/>
          <w:kern w:val="2"/>
          <w:sz w:val="32"/>
          <w:szCs w:val="32"/>
          <w:lang w:val="en-US" w:eastAsia="zh-CN" w:bidi="ar-SA"/>
        </w:rPr>
      </w:pPr>
      <w:r>
        <w:rPr>
          <w:rFonts w:hint="eastAsia" w:ascii="楷体" w:hAnsi="楷体" w:eastAsia="楷体" w:cs="楷体"/>
          <w:b w:val="0"/>
          <w:bCs w:val="0"/>
          <w:kern w:val="2"/>
          <w:sz w:val="32"/>
          <w:szCs w:val="32"/>
          <w:lang w:val="en-US" w:eastAsia="zh-CN" w:bidi="ar-SA"/>
        </w:rPr>
        <w:t>5.3 自身运营管理制度</w:t>
      </w:r>
    </w:p>
    <w:p>
      <w:pPr>
        <w:pStyle w:val="22"/>
        <w:keepNext w:val="0"/>
        <w:keepLines w:val="0"/>
        <w:pageBreakBefore w:val="0"/>
        <w:numPr>
          <w:ilvl w:val="0"/>
          <w:numId w:val="0"/>
        </w:numPr>
        <w:kinsoku/>
        <w:wordWrap/>
        <w:overflowPunct/>
        <w:topLinePunct w:val="0"/>
        <w:autoSpaceDE/>
        <w:autoSpaceDN/>
        <w:bidi w:val="0"/>
        <w:adjustRightInd/>
        <w:snapToGrid/>
        <w:spacing w:line="576" w:lineRule="exact"/>
        <w:ind w:leftChars="0" w:firstLine="640" w:firstLineChars="200"/>
        <w:textAlignment w:val="auto"/>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制定《西藏银行坚持“过紧日子”七条》，重点强调会务管理系统的运用、无纸化办公和异地视频参会等措施，在进一步降低运营成本的同时，严控碳排放。</w:t>
      </w:r>
    </w:p>
    <w:p>
      <w:pPr>
        <w:pStyle w:val="5"/>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楷体" w:hAnsi="楷体" w:eastAsia="楷体" w:cs="楷体"/>
          <w:b w:val="0"/>
          <w:bCs w:val="0"/>
          <w:kern w:val="2"/>
          <w:sz w:val="32"/>
          <w:szCs w:val="32"/>
          <w:lang w:val="en-US" w:eastAsia="zh-CN" w:bidi="ar-SA"/>
        </w:rPr>
      </w:pPr>
      <w:r>
        <w:rPr>
          <w:rFonts w:hint="eastAsia" w:ascii="楷体" w:hAnsi="楷体" w:eastAsia="楷体" w:cs="楷体"/>
          <w:b w:val="0"/>
          <w:bCs w:val="0"/>
          <w:kern w:val="2"/>
          <w:sz w:val="32"/>
          <w:szCs w:val="32"/>
          <w:lang w:val="en-US" w:eastAsia="zh-CN" w:bidi="ar-SA"/>
        </w:rPr>
        <w:t>5.4 政策落实与合规情况</w:t>
      </w:r>
    </w:p>
    <w:p>
      <w:pPr>
        <w:pStyle w:val="22"/>
        <w:keepNext w:val="0"/>
        <w:keepLines w:val="0"/>
        <w:pageBreakBefore w:val="0"/>
        <w:widowControl/>
        <w:numPr>
          <w:ilvl w:val="0"/>
          <w:numId w:val="0"/>
        </w:numPr>
        <w:kinsoku/>
        <w:wordWrap/>
        <w:overflowPunct/>
        <w:topLinePunct w:val="0"/>
        <w:autoSpaceDE/>
        <w:autoSpaceDN/>
        <w:bidi w:val="0"/>
        <w:adjustRightInd/>
        <w:snapToGrid/>
        <w:spacing w:line="576" w:lineRule="exact"/>
        <w:ind w:leftChars="0" w:firstLine="640" w:firstLineChars="200"/>
        <w:textAlignment w:val="auto"/>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落地碳减排支持工具业务，累计发放碳减排贷款1.05亿元，符合国家及地方绿色金融政策导向与监管要求。</w:t>
      </w:r>
    </w:p>
    <w:p>
      <w:pPr>
        <w:pStyle w:val="4"/>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b w:val="0"/>
          <w:bCs w:val="0"/>
          <w:kern w:val="2"/>
          <w:sz w:val="32"/>
          <w:szCs w:val="32"/>
          <w:lang w:val="en-US" w:eastAsia="zh-CN" w:bidi="ar-SA"/>
        </w:rPr>
      </w:pPr>
      <w:r>
        <w:rPr>
          <w:rFonts w:hint="eastAsia" w:ascii="黑体" w:hAnsi="黑体" w:eastAsia="黑体" w:cs="黑体"/>
          <w:b w:val="0"/>
          <w:bCs w:val="0"/>
          <w:kern w:val="2"/>
          <w:sz w:val="32"/>
          <w:szCs w:val="32"/>
          <w:lang w:val="en-US" w:eastAsia="zh-CN" w:bidi="ar-SA"/>
        </w:rPr>
        <w:t>六、可持续相关风险和机遇</w:t>
      </w:r>
    </w:p>
    <w:p>
      <w:pPr>
        <w:pStyle w:val="5"/>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楷体" w:hAnsi="楷体" w:eastAsia="楷体" w:cs="楷体"/>
          <w:b w:val="0"/>
          <w:bCs w:val="0"/>
          <w:kern w:val="2"/>
          <w:sz w:val="32"/>
          <w:szCs w:val="32"/>
          <w:lang w:val="en-US" w:eastAsia="zh-CN" w:bidi="ar-SA"/>
        </w:rPr>
      </w:pPr>
      <w:r>
        <w:rPr>
          <w:rFonts w:hint="eastAsia" w:ascii="楷体" w:hAnsi="楷体" w:eastAsia="楷体" w:cs="楷体"/>
          <w:b w:val="0"/>
          <w:bCs w:val="0"/>
          <w:kern w:val="2"/>
          <w:sz w:val="32"/>
          <w:szCs w:val="32"/>
          <w:lang w:val="en-US" w:eastAsia="zh-CN" w:bidi="ar-SA"/>
        </w:rPr>
        <w:t xml:space="preserve">6.1 风险识别与分类 </w:t>
      </w:r>
    </w:p>
    <w:p>
      <w:pPr>
        <w:pStyle w:val="22"/>
        <w:keepNext w:val="0"/>
        <w:keepLines w:val="0"/>
        <w:pageBreakBefore w:val="0"/>
        <w:numPr>
          <w:ilvl w:val="0"/>
          <w:numId w:val="0"/>
        </w:numPr>
        <w:kinsoku/>
        <w:wordWrap/>
        <w:overflowPunct/>
        <w:topLinePunct w:val="0"/>
        <w:autoSpaceDE/>
        <w:autoSpaceDN/>
        <w:bidi w:val="0"/>
        <w:adjustRightInd/>
        <w:snapToGrid/>
        <w:spacing w:line="576" w:lineRule="exact"/>
        <w:ind w:leftChars="0" w:firstLine="643" w:firstLineChars="200"/>
        <w:textAlignment w:val="auto"/>
        <w:rPr>
          <w:rFonts w:hint="eastAsia" w:ascii="仿宋" w:hAnsi="仿宋" w:eastAsia="仿宋" w:cs="仿宋"/>
          <w:b/>
          <w:bCs/>
          <w:kern w:val="2"/>
          <w:sz w:val="32"/>
          <w:szCs w:val="32"/>
          <w:lang w:val="en-US" w:eastAsia="zh-CN" w:bidi="ar-SA"/>
        </w:rPr>
      </w:pPr>
      <w:r>
        <w:rPr>
          <w:rFonts w:hint="eastAsia" w:ascii="仿宋" w:hAnsi="仿宋" w:eastAsia="仿宋" w:cs="仿宋"/>
          <w:b/>
          <w:bCs/>
          <w:kern w:val="2"/>
          <w:sz w:val="32"/>
          <w:szCs w:val="32"/>
          <w:lang w:val="en-US" w:eastAsia="zh-CN" w:bidi="ar-SA"/>
        </w:rPr>
        <w:t>6.1.1 物理风险</w:t>
      </w:r>
    </w:p>
    <w:p>
      <w:pPr>
        <w:pStyle w:val="22"/>
        <w:keepNext w:val="0"/>
        <w:keepLines w:val="0"/>
        <w:pageBreakBefore w:val="0"/>
        <w:numPr>
          <w:ilvl w:val="0"/>
          <w:numId w:val="0"/>
        </w:numPr>
        <w:kinsoku/>
        <w:wordWrap/>
        <w:overflowPunct/>
        <w:topLinePunct w:val="0"/>
        <w:autoSpaceDE/>
        <w:autoSpaceDN/>
        <w:bidi w:val="0"/>
        <w:adjustRightInd/>
        <w:snapToGrid/>
        <w:spacing w:line="576" w:lineRule="exact"/>
        <w:ind w:leftChars="0" w:firstLine="640" w:firstLineChars="200"/>
        <w:textAlignment w:val="auto"/>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风险描述：西藏极端天气（暴雪、干旱）、自然灾害（地震、泥石流）可能导致分支机构运营中断，授信对象（农牧业、基础设施项目）财产损失或运营受阻，影响信贷资产质量。</w:t>
      </w:r>
    </w:p>
    <w:p>
      <w:pPr>
        <w:pStyle w:val="22"/>
        <w:keepNext w:val="0"/>
        <w:keepLines w:val="0"/>
        <w:pageBreakBefore w:val="0"/>
        <w:numPr>
          <w:ilvl w:val="0"/>
          <w:numId w:val="0"/>
        </w:numPr>
        <w:kinsoku/>
        <w:wordWrap/>
        <w:overflowPunct/>
        <w:topLinePunct w:val="0"/>
        <w:autoSpaceDE/>
        <w:autoSpaceDN/>
        <w:bidi w:val="0"/>
        <w:adjustRightInd/>
        <w:snapToGrid/>
        <w:spacing w:line="576" w:lineRule="exact"/>
        <w:ind w:leftChars="0" w:firstLine="640" w:firstLineChars="200"/>
        <w:textAlignment w:val="auto"/>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影响范围：主要涉及房地产业、建筑业、农牧业等行业，地理集中于边境地区、偏远县域。</w:t>
      </w:r>
    </w:p>
    <w:p>
      <w:pPr>
        <w:pStyle w:val="22"/>
        <w:keepNext w:val="0"/>
        <w:keepLines w:val="0"/>
        <w:pageBreakBefore w:val="0"/>
        <w:numPr>
          <w:ilvl w:val="0"/>
          <w:numId w:val="0"/>
        </w:numPr>
        <w:kinsoku/>
        <w:wordWrap/>
        <w:overflowPunct/>
        <w:topLinePunct w:val="0"/>
        <w:autoSpaceDE/>
        <w:autoSpaceDN/>
        <w:bidi w:val="0"/>
        <w:adjustRightInd/>
        <w:snapToGrid/>
        <w:spacing w:line="576" w:lineRule="exact"/>
        <w:ind w:leftChars="0" w:firstLine="640" w:firstLineChars="200"/>
        <w:textAlignment w:val="auto"/>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时间范畴：极端天气影响以短期为主，生态环境变化影响以长期为主。</w:t>
      </w:r>
    </w:p>
    <w:p>
      <w:pPr>
        <w:pStyle w:val="22"/>
        <w:keepNext w:val="0"/>
        <w:keepLines w:val="0"/>
        <w:pageBreakBefore w:val="0"/>
        <w:numPr>
          <w:ilvl w:val="0"/>
          <w:numId w:val="0"/>
        </w:numPr>
        <w:kinsoku/>
        <w:wordWrap/>
        <w:overflowPunct/>
        <w:topLinePunct w:val="0"/>
        <w:autoSpaceDE/>
        <w:autoSpaceDN/>
        <w:bidi w:val="0"/>
        <w:adjustRightInd/>
        <w:snapToGrid/>
        <w:spacing w:line="576" w:lineRule="exact"/>
        <w:ind w:leftChars="0" w:firstLine="640" w:firstLineChars="200"/>
        <w:textAlignment w:val="auto"/>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应对措施：信贷审批环节充分考量自然风险因素，要求高风险区域项目投保财产保险；健全分支机构应急备份机制，定期开展灾备演练；加大生态修复项目信贷支持，提升区域生态抗风险能力。</w:t>
      </w:r>
    </w:p>
    <w:p>
      <w:pPr>
        <w:pStyle w:val="22"/>
        <w:keepNext w:val="0"/>
        <w:keepLines w:val="0"/>
        <w:pageBreakBefore w:val="0"/>
        <w:numPr>
          <w:ilvl w:val="0"/>
          <w:numId w:val="0"/>
        </w:numPr>
        <w:kinsoku/>
        <w:wordWrap/>
        <w:overflowPunct/>
        <w:topLinePunct w:val="0"/>
        <w:autoSpaceDE/>
        <w:autoSpaceDN/>
        <w:bidi w:val="0"/>
        <w:adjustRightInd/>
        <w:snapToGrid/>
        <w:spacing w:line="576" w:lineRule="exact"/>
        <w:ind w:leftChars="0" w:firstLine="643" w:firstLineChars="200"/>
        <w:textAlignment w:val="auto"/>
        <w:rPr>
          <w:rFonts w:hint="eastAsia" w:ascii="仿宋" w:hAnsi="仿宋" w:eastAsia="仿宋" w:cs="仿宋"/>
          <w:b/>
          <w:bCs/>
          <w:kern w:val="2"/>
          <w:sz w:val="32"/>
          <w:szCs w:val="32"/>
          <w:lang w:val="en-US" w:eastAsia="zh-CN" w:bidi="ar-SA"/>
        </w:rPr>
      </w:pPr>
      <w:r>
        <w:rPr>
          <w:rFonts w:hint="eastAsia" w:ascii="仿宋" w:hAnsi="仿宋" w:eastAsia="仿宋" w:cs="仿宋"/>
          <w:b/>
          <w:bCs/>
          <w:kern w:val="2"/>
          <w:sz w:val="32"/>
          <w:szCs w:val="32"/>
          <w:lang w:val="en-US" w:eastAsia="zh-CN" w:bidi="ar-SA"/>
        </w:rPr>
        <w:t>6.1.2 转型风险</w:t>
      </w:r>
    </w:p>
    <w:p>
      <w:pPr>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hanging="363"/>
        <w:jc w:val="both"/>
        <w:textAlignment w:val="auto"/>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政策法规风险：绿色金融监管政策、环保标准变化可能导致高碳行业客户合规成本上升，引发信用风险。</w:t>
      </w:r>
      <w:r>
        <w:rPr>
          <w:rFonts w:hint="default" w:ascii="仿宋" w:hAnsi="仿宋" w:eastAsia="仿宋" w:cs="仿宋"/>
          <w:b w:val="0"/>
          <w:bCs w:val="0"/>
          <w:kern w:val="2"/>
          <w:sz w:val="32"/>
          <w:szCs w:val="32"/>
          <w:lang w:val="en-US" w:eastAsia="zh-CN" w:bidi="ar-SA"/>
        </w:rPr>
        <w:t>受LPR下行及存款竞争影响，净息差</w:t>
      </w:r>
      <w:r>
        <w:rPr>
          <w:rFonts w:hint="eastAsia" w:ascii="仿宋" w:hAnsi="仿宋" w:eastAsia="仿宋" w:cs="仿宋"/>
          <w:b w:val="0"/>
          <w:bCs w:val="0"/>
          <w:kern w:val="2"/>
          <w:sz w:val="32"/>
          <w:szCs w:val="32"/>
          <w:lang w:val="en-US" w:eastAsia="zh-CN" w:bidi="ar-SA"/>
        </w:rPr>
        <w:t>贴近1.5%警戒线，可持续信息披露要求落地将推高 ESG 数据采集与披露合规成本，进一步承压盈利能力。</w:t>
      </w:r>
    </w:p>
    <w:p>
      <w:pPr>
        <w:pStyle w:val="22"/>
        <w:keepNext w:val="0"/>
        <w:keepLines w:val="0"/>
        <w:pageBreakBefore w:val="0"/>
        <w:numPr>
          <w:ilvl w:val="0"/>
          <w:numId w:val="0"/>
        </w:numPr>
        <w:kinsoku/>
        <w:wordWrap/>
        <w:overflowPunct/>
        <w:topLinePunct w:val="0"/>
        <w:autoSpaceDE/>
        <w:autoSpaceDN/>
        <w:bidi w:val="0"/>
        <w:adjustRightInd/>
        <w:snapToGrid/>
        <w:spacing w:line="576" w:lineRule="exact"/>
        <w:ind w:leftChars="0" w:firstLine="640" w:firstLineChars="200"/>
        <w:textAlignment w:val="auto"/>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技术替代风险：清洁能源技术快速发展可能导致传统高耗能企业产能淘汰，影响还款能力。</w:t>
      </w:r>
    </w:p>
    <w:p>
      <w:pPr>
        <w:pStyle w:val="22"/>
        <w:keepNext w:val="0"/>
        <w:keepLines w:val="0"/>
        <w:pageBreakBefore w:val="0"/>
        <w:numPr>
          <w:ilvl w:val="0"/>
          <w:numId w:val="0"/>
        </w:numPr>
        <w:kinsoku/>
        <w:wordWrap/>
        <w:overflowPunct/>
        <w:topLinePunct w:val="0"/>
        <w:autoSpaceDE/>
        <w:autoSpaceDN/>
        <w:bidi w:val="0"/>
        <w:adjustRightInd/>
        <w:snapToGrid/>
        <w:spacing w:line="576" w:lineRule="exact"/>
        <w:ind w:leftChars="0" w:firstLine="640" w:firstLineChars="200"/>
        <w:textAlignment w:val="auto"/>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市场需求风险：绿色消费意识提升使高碳产品需求下降，相关企业经营效益下滑。</w:t>
      </w:r>
    </w:p>
    <w:p>
      <w:pPr>
        <w:pStyle w:val="22"/>
        <w:keepNext w:val="0"/>
        <w:keepLines w:val="0"/>
        <w:pageBreakBefore w:val="0"/>
        <w:numPr>
          <w:ilvl w:val="0"/>
          <w:numId w:val="0"/>
        </w:numPr>
        <w:kinsoku/>
        <w:wordWrap/>
        <w:overflowPunct/>
        <w:topLinePunct w:val="0"/>
        <w:autoSpaceDE/>
        <w:autoSpaceDN/>
        <w:bidi w:val="0"/>
        <w:adjustRightInd/>
        <w:snapToGrid/>
        <w:spacing w:line="576" w:lineRule="exact"/>
        <w:ind w:leftChars="0" w:firstLine="640" w:firstLineChars="200"/>
        <w:textAlignment w:val="auto"/>
        <w:rPr>
          <w:rFonts w:hint="default"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时间范畴：合规成本影响以短期为主，其他风险影响以长期为主。</w:t>
      </w:r>
    </w:p>
    <w:p>
      <w:pPr>
        <w:pStyle w:val="22"/>
        <w:keepNext w:val="0"/>
        <w:keepLines w:val="0"/>
        <w:pageBreakBefore w:val="0"/>
        <w:numPr>
          <w:ilvl w:val="0"/>
          <w:numId w:val="0"/>
        </w:numPr>
        <w:kinsoku/>
        <w:wordWrap/>
        <w:overflowPunct/>
        <w:topLinePunct w:val="0"/>
        <w:autoSpaceDE/>
        <w:autoSpaceDN/>
        <w:bidi w:val="0"/>
        <w:adjustRightInd/>
        <w:snapToGrid/>
        <w:spacing w:line="576" w:lineRule="exact"/>
        <w:ind w:leftChars="0" w:firstLine="640" w:firstLineChars="200"/>
        <w:textAlignment w:val="auto"/>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应对措施：加强政策研判与趋势预判，动态调整信贷结构，压降高碳行业贷款；为企业低碳转型提供专项融资支持；创新绿色金融产品，匹配转型融资需求；深化本行 “降本增效” 管理，提升资产运营效能。</w:t>
      </w:r>
    </w:p>
    <w:p>
      <w:pPr>
        <w:pStyle w:val="5"/>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楷体" w:hAnsi="楷体" w:eastAsia="楷体" w:cs="楷体"/>
          <w:b w:val="0"/>
          <w:bCs w:val="0"/>
          <w:kern w:val="2"/>
          <w:sz w:val="32"/>
          <w:szCs w:val="32"/>
          <w:lang w:val="en-US" w:eastAsia="zh-CN" w:bidi="ar-SA"/>
        </w:rPr>
      </w:pPr>
      <w:r>
        <w:rPr>
          <w:rFonts w:hint="eastAsia" w:ascii="楷体" w:hAnsi="楷体" w:eastAsia="楷体" w:cs="楷体"/>
          <w:b w:val="0"/>
          <w:bCs w:val="0"/>
          <w:kern w:val="2"/>
          <w:sz w:val="32"/>
          <w:szCs w:val="32"/>
          <w:lang w:val="en-US" w:eastAsia="zh-CN" w:bidi="ar-SA"/>
        </w:rPr>
        <w:t>6.2 机遇识别与应用</w:t>
      </w:r>
    </w:p>
    <w:p>
      <w:pPr>
        <w:pStyle w:val="22"/>
        <w:keepNext w:val="0"/>
        <w:keepLines w:val="0"/>
        <w:pageBreakBefore w:val="0"/>
        <w:numPr>
          <w:ilvl w:val="0"/>
          <w:numId w:val="0"/>
        </w:numPr>
        <w:kinsoku/>
        <w:wordWrap/>
        <w:overflowPunct/>
        <w:topLinePunct w:val="0"/>
        <w:autoSpaceDE/>
        <w:autoSpaceDN/>
        <w:bidi w:val="0"/>
        <w:adjustRightInd/>
        <w:snapToGrid/>
        <w:spacing w:line="576" w:lineRule="exact"/>
        <w:ind w:leftChars="0" w:firstLine="643" w:firstLineChars="200"/>
        <w:textAlignment w:val="auto"/>
        <w:rPr>
          <w:rFonts w:hint="default" w:ascii="仿宋" w:hAnsi="仿宋" w:eastAsia="仿宋" w:cs="仿宋"/>
          <w:b/>
          <w:bCs/>
          <w:kern w:val="2"/>
          <w:sz w:val="32"/>
          <w:szCs w:val="32"/>
          <w:lang w:val="en-US" w:eastAsia="zh-CN" w:bidi="ar-SA"/>
        </w:rPr>
      </w:pPr>
      <w:r>
        <w:rPr>
          <w:rFonts w:hint="default" w:ascii="仿宋" w:hAnsi="仿宋" w:eastAsia="仿宋" w:cs="仿宋"/>
          <w:b/>
          <w:bCs/>
          <w:kern w:val="2"/>
          <w:sz w:val="32"/>
          <w:szCs w:val="32"/>
          <w:lang w:val="en-US" w:eastAsia="zh-CN" w:bidi="ar-SA"/>
        </w:rPr>
        <w:t>6.2.1 政策机遇</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left"/>
        <w:textAlignment w:val="auto"/>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国家及地方绿色金融政策支持力度持续加大，碳减排支持工具等政策红利为业务发展提供支撑，2025 年通过碳减排支持工具获得低成本资金 1.05 亿元。西藏自治区生态文明高地建设、拉萨南北山绿化等重大工程，催生生态修复、清洁能源领域规模化融资需求。</w:t>
      </w:r>
    </w:p>
    <w:p>
      <w:pPr>
        <w:pStyle w:val="22"/>
        <w:keepNext w:val="0"/>
        <w:keepLines w:val="0"/>
        <w:pageBreakBefore w:val="0"/>
        <w:numPr>
          <w:ilvl w:val="0"/>
          <w:numId w:val="0"/>
        </w:numPr>
        <w:kinsoku/>
        <w:wordWrap/>
        <w:overflowPunct/>
        <w:topLinePunct w:val="0"/>
        <w:autoSpaceDE/>
        <w:autoSpaceDN/>
        <w:bidi w:val="0"/>
        <w:adjustRightInd/>
        <w:snapToGrid/>
        <w:spacing w:line="576" w:lineRule="exact"/>
        <w:ind w:leftChars="0" w:firstLine="643" w:firstLineChars="200"/>
        <w:textAlignment w:val="auto"/>
        <w:rPr>
          <w:rFonts w:hint="default" w:ascii="仿宋" w:hAnsi="仿宋" w:eastAsia="仿宋" w:cs="仿宋"/>
          <w:b/>
          <w:bCs/>
          <w:kern w:val="2"/>
          <w:sz w:val="32"/>
          <w:szCs w:val="32"/>
          <w:lang w:val="en-US" w:eastAsia="zh-CN" w:bidi="ar-SA"/>
        </w:rPr>
      </w:pPr>
      <w:r>
        <w:rPr>
          <w:rFonts w:hint="default" w:ascii="仿宋" w:hAnsi="仿宋" w:eastAsia="仿宋" w:cs="仿宋"/>
          <w:b/>
          <w:bCs/>
          <w:kern w:val="2"/>
          <w:sz w:val="32"/>
          <w:szCs w:val="32"/>
          <w:lang w:val="en-US" w:eastAsia="zh-CN" w:bidi="ar-SA"/>
        </w:rPr>
        <w:t>6.2.2 市场机遇</w:t>
      </w:r>
    </w:p>
    <w:p>
      <w:pPr>
        <w:pStyle w:val="22"/>
        <w:keepNext w:val="0"/>
        <w:keepLines w:val="0"/>
        <w:pageBreakBefore w:val="0"/>
        <w:numPr>
          <w:ilvl w:val="0"/>
          <w:numId w:val="0"/>
        </w:numPr>
        <w:kinsoku/>
        <w:wordWrap/>
        <w:overflowPunct/>
        <w:topLinePunct w:val="0"/>
        <w:autoSpaceDE/>
        <w:autoSpaceDN/>
        <w:bidi w:val="0"/>
        <w:adjustRightInd/>
        <w:snapToGrid/>
        <w:spacing w:line="576" w:lineRule="exact"/>
        <w:ind w:leftChars="0" w:firstLine="640" w:firstLineChars="200"/>
        <w:textAlignment w:val="auto"/>
        <w:rPr>
          <w:rFonts w:hint="default" w:ascii="仿宋" w:hAnsi="仿宋" w:eastAsia="仿宋" w:cs="仿宋"/>
          <w:b w:val="0"/>
          <w:bCs w:val="0"/>
          <w:kern w:val="2"/>
          <w:sz w:val="32"/>
          <w:szCs w:val="32"/>
          <w:lang w:val="en-US" w:eastAsia="zh-CN" w:bidi="ar-SA"/>
        </w:rPr>
      </w:pPr>
      <w:r>
        <w:rPr>
          <w:rFonts w:hint="default" w:ascii="仿宋" w:hAnsi="仿宋" w:eastAsia="仿宋" w:cs="仿宋"/>
          <w:b w:val="0"/>
          <w:bCs w:val="0"/>
          <w:kern w:val="2"/>
          <w:sz w:val="32"/>
          <w:szCs w:val="32"/>
          <w:lang w:val="en-US" w:eastAsia="zh-CN" w:bidi="ar-SA"/>
        </w:rPr>
        <w:t>绿色产业快速发展，企业绿色融资需求增长，2025年新增绿色信贷投放10.21亿元，</w:t>
      </w:r>
      <w:r>
        <w:rPr>
          <w:rFonts w:hint="eastAsia" w:ascii="仿宋" w:hAnsi="仿宋" w:eastAsia="仿宋" w:cs="仿宋"/>
          <w:b w:val="0"/>
          <w:bCs w:val="0"/>
          <w:kern w:val="2"/>
          <w:sz w:val="32"/>
          <w:szCs w:val="32"/>
          <w:lang w:val="en-US" w:eastAsia="zh-CN" w:bidi="ar-SA"/>
        </w:rPr>
        <w:t>全年</w:t>
      </w:r>
      <w:r>
        <w:rPr>
          <w:rFonts w:hint="default" w:ascii="仿宋" w:hAnsi="仿宋" w:eastAsia="仿宋" w:cs="仿宋"/>
          <w:b w:val="0"/>
          <w:bCs w:val="0"/>
          <w:kern w:val="2"/>
          <w:sz w:val="32"/>
          <w:szCs w:val="32"/>
          <w:lang w:val="en-US" w:eastAsia="zh-CN" w:bidi="ar-SA"/>
        </w:rPr>
        <w:t>任务完成率118.71%。</w:t>
      </w:r>
    </w:p>
    <w:p>
      <w:pPr>
        <w:pStyle w:val="22"/>
        <w:keepNext w:val="0"/>
        <w:keepLines w:val="0"/>
        <w:pageBreakBefore w:val="0"/>
        <w:numPr>
          <w:ilvl w:val="0"/>
          <w:numId w:val="0"/>
        </w:numPr>
        <w:kinsoku/>
        <w:wordWrap/>
        <w:overflowPunct/>
        <w:topLinePunct w:val="0"/>
        <w:autoSpaceDE/>
        <w:autoSpaceDN/>
        <w:bidi w:val="0"/>
        <w:adjustRightInd/>
        <w:snapToGrid/>
        <w:spacing w:line="576" w:lineRule="exact"/>
        <w:ind w:leftChars="0" w:firstLine="640" w:firstLineChars="200"/>
        <w:textAlignment w:val="auto"/>
        <w:rPr>
          <w:rFonts w:hint="default" w:ascii="仿宋" w:hAnsi="仿宋" w:eastAsia="仿宋" w:cs="仿宋"/>
          <w:b w:val="0"/>
          <w:bCs w:val="0"/>
          <w:kern w:val="2"/>
          <w:sz w:val="32"/>
          <w:szCs w:val="32"/>
          <w:lang w:val="en-US" w:eastAsia="zh-CN" w:bidi="ar-SA"/>
        </w:rPr>
      </w:pPr>
      <w:r>
        <w:rPr>
          <w:rFonts w:hint="default" w:ascii="仿宋" w:hAnsi="仿宋" w:eastAsia="仿宋" w:cs="仿宋"/>
          <w:b w:val="0"/>
          <w:bCs w:val="0"/>
          <w:kern w:val="2"/>
          <w:sz w:val="32"/>
          <w:szCs w:val="32"/>
          <w:lang w:val="en-US" w:eastAsia="zh-CN" w:bidi="ar-SA"/>
        </w:rPr>
        <w:t>个人碳账户、绿色消费信贷等新兴业务市场潜力巨大，本行作为首批接入拉萨市级个人碳账户平台的银行，抢占市场先机。</w:t>
      </w:r>
    </w:p>
    <w:p>
      <w:pPr>
        <w:pStyle w:val="22"/>
        <w:keepNext w:val="0"/>
        <w:keepLines w:val="0"/>
        <w:pageBreakBefore w:val="0"/>
        <w:numPr>
          <w:ilvl w:val="0"/>
          <w:numId w:val="0"/>
        </w:numPr>
        <w:kinsoku/>
        <w:wordWrap/>
        <w:overflowPunct/>
        <w:topLinePunct w:val="0"/>
        <w:autoSpaceDE/>
        <w:autoSpaceDN/>
        <w:bidi w:val="0"/>
        <w:adjustRightInd/>
        <w:snapToGrid/>
        <w:spacing w:line="576" w:lineRule="exact"/>
        <w:ind w:leftChars="0" w:firstLine="640" w:firstLineChars="200"/>
        <w:textAlignment w:val="auto"/>
        <w:rPr>
          <w:rFonts w:hint="default" w:ascii="仿宋" w:hAnsi="仿宋" w:eastAsia="仿宋" w:cs="仿宋"/>
          <w:b w:val="0"/>
          <w:bCs w:val="0"/>
          <w:kern w:val="2"/>
          <w:sz w:val="32"/>
          <w:szCs w:val="32"/>
          <w:lang w:val="en-US" w:eastAsia="zh-CN" w:bidi="ar-SA"/>
        </w:rPr>
      </w:pPr>
      <w:r>
        <w:rPr>
          <w:rFonts w:hint="default" w:ascii="仿宋" w:hAnsi="仿宋" w:eastAsia="仿宋" w:cs="仿宋"/>
          <w:b w:val="0"/>
          <w:bCs w:val="0"/>
          <w:kern w:val="2"/>
          <w:sz w:val="32"/>
          <w:szCs w:val="32"/>
          <w:lang w:val="en-US" w:eastAsia="zh-CN" w:bidi="ar-SA"/>
        </w:rPr>
        <w:t>跨区域绿色金融合作空间广阔，通过投资绿色债券、联合授信等方式拓展业务边界。</w:t>
      </w:r>
    </w:p>
    <w:p>
      <w:pPr>
        <w:pStyle w:val="5"/>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楷体" w:hAnsi="楷体" w:eastAsia="楷体" w:cs="楷体"/>
          <w:b w:val="0"/>
          <w:bCs w:val="0"/>
          <w:kern w:val="2"/>
          <w:sz w:val="32"/>
          <w:szCs w:val="32"/>
          <w:lang w:val="en-US" w:eastAsia="zh-CN" w:bidi="ar-SA"/>
        </w:rPr>
      </w:pPr>
      <w:r>
        <w:rPr>
          <w:rFonts w:hint="eastAsia" w:ascii="楷体" w:hAnsi="楷体" w:eastAsia="楷体" w:cs="楷体"/>
          <w:b w:val="0"/>
          <w:bCs w:val="0"/>
          <w:kern w:val="2"/>
          <w:sz w:val="32"/>
          <w:szCs w:val="32"/>
          <w:lang w:val="en-US" w:eastAsia="zh-CN" w:bidi="ar-SA"/>
        </w:rPr>
        <w:t>6.3 气候与生物多样性影响分析</w:t>
      </w:r>
    </w:p>
    <w:p>
      <w:pPr>
        <w:pStyle w:val="22"/>
        <w:keepNext w:val="0"/>
        <w:keepLines w:val="0"/>
        <w:pageBreakBefore w:val="0"/>
        <w:numPr>
          <w:ilvl w:val="0"/>
          <w:numId w:val="0"/>
        </w:numPr>
        <w:kinsoku/>
        <w:wordWrap/>
        <w:overflowPunct/>
        <w:topLinePunct w:val="0"/>
        <w:autoSpaceDE/>
        <w:autoSpaceDN/>
        <w:bidi w:val="0"/>
        <w:adjustRightInd/>
        <w:snapToGrid/>
        <w:spacing w:line="576" w:lineRule="exact"/>
        <w:ind w:leftChars="0" w:firstLine="640" w:firstLineChars="200"/>
        <w:textAlignment w:val="auto"/>
        <w:rPr>
          <w:rFonts w:hint="default" w:ascii="仿宋" w:hAnsi="仿宋" w:eastAsia="仿宋" w:cs="仿宋"/>
          <w:b w:val="0"/>
          <w:bCs w:val="0"/>
          <w:kern w:val="2"/>
          <w:sz w:val="32"/>
          <w:szCs w:val="32"/>
          <w:lang w:val="en-US" w:eastAsia="zh-CN" w:bidi="ar-SA"/>
        </w:rPr>
      </w:pPr>
      <w:r>
        <w:rPr>
          <w:rFonts w:hint="default" w:ascii="仿宋" w:hAnsi="仿宋" w:eastAsia="仿宋" w:cs="仿宋"/>
          <w:b w:val="0"/>
          <w:bCs w:val="0"/>
          <w:kern w:val="2"/>
          <w:sz w:val="32"/>
          <w:szCs w:val="32"/>
          <w:lang w:val="en-US" w:eastAsia="zh-CN" w:bidi="ar-SA"/>
        </w:rPr>
        <w:t>识别生物多样性相关风险，将生物多样性保护纳入信贷审批考量因素。</w:t>
      </w:r>
    </w:p>
    <w:p>
      <w:pPr>
        <w:pStyle w:val="22"/>
        <w:keepNext w:val="0"/>
        <w:keepLines w:val="0"/>
        <w:pageBreakBefore w:val="0"/>
        <w:numPr>
          <w:ilvl w:val="0"/>
          <w:numId w:val="0"/>
        </w:numPr>
        <w:kinsoku/>
        <w:wordWrap/>
        <w:overflowPunct/>
        <w:topLinePunct w:val="0"/>
        <w:autoSpaceDE/>
        <w:autoSpaceDN/>
        <w:bidi w:val="0"/>
        <w:adjustRightInd/>
        <w:snapToGrid/>
        <w:spacing w:line="576" w:lineRule="exact"/>
        <w:ind w:leftChars="0" w:firstLine="640" w:firstLineChars="200"/>
        <w:textAlignment w:val="auto"/>
        <w:rPr>
          <w:rFonts w:hint="eastAsia" w:ascii="仿宋" w:hAnsi="仿宋" w:eastAsia="仿宋" w:cs="仿宋"/>
          <w:b w:val="0"/>
          <w:bCs w:val="0"/>
          <w:kern w:val="2"/>
          <w:sz w:val="32"/>
          <w:szCs w:val="32"/>
          <w:lang w:val="en-US" w:eastAsia="zh-CN" w:bidi="ar-SA"/>
        </w:rPr>
      </w:pPr>
      <w:r>
        <w:rPr>
          <w:rFonts w:hint="default" w:ascii="仿宋" w:hAnsi="仿宋" w:eastAsia="仿宋" w:cs="仿宋"/>
          <w:b w:val="0"/>
          <w:bCs w:val="0"/>
          <w:kern w:val="2"/>
          <w:sz w:val="32"/>
          <w:szCs w:val="32"/>
          <w:lang w:val="en-US" w:eastAsia="zh-CN" w:bidi="ar-SA"/>
        </w:rPr>
        <w:t>2025年绿色信贷支持项目累计实现二氧化碳减排22,897.36吨</w:t>
      </w:r>
      <w:r>
        <w:rPr>
          <w:rFonts w:hint="eastAsia" w:ascii="仿宋" w:hAnsi="仿宋" w:eastAsia="仿宋" w:cs="仿宋"/>
          <w:b w:val="0"/>
          <w:bCs w:val="0"/>
          <w:kern w:val="2"/>
          <w:sz w:val="32"/>
          <w:szCs w:val="32"/>
          <w:lang w:val="en-US" w:eastAsia="zh-CN" w:bidi="ar-SA"/>
        </w:rPr>
        <w:t>。</w:t>
      </w:r>
    </w:p>
    <w:p>
      <w:pPr>
        <w:pStyle w:val="4"/>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b w:val="0"/>
          <w:bCs w:val="0"/>
          <w:kern w:val="2"/>
          <w:sz w:val="32"/>
          <w:szCs w:val="32"/>
          <w:lang w:val="en-US" w:eastAsia="zh-CN" w:bidi="ar-SA"/>
        </w:rPr>
      </w:pPr>
      <w:r>
        <w:rPr>
          <w:rFonts w:hint="eastAsia" w:ascii="黑体" w:hAnsi="黑体" w:eastAsia="黑体" w:cs="黑体"/>
          <w:b w:val="0"/>
          <w:bCs w:val="0"/>
          <w:kern w:val="2"/>
          <w:sz w:val="32"/>
          <w:szCs w:val="32"/>
          <w:lang w:val="en-US" w:eastAsia="zh-CN" w:bidi="ar-SA"/>
        </w:rPr>
        <w:t>七、投融资活动可持续信息</w:t>
      </w:r>
    </w:p>
    <w:p>
      <w:pPr>
        <w:pStyle w:val="5"/>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楷体" w:hAnsi="楷体" w:eastAsia="楷体" w:cs="楷体"/>
          <w:b w:val="0"/>
          <w:bCs w:val="0"/>
          <w:kern w:val="2"/>
          <w:sz w:val="32"/>
          <w:szCs w:val="32"/>
          <w:lang w:val="en-US" w:eastAsia="zh-CN" w:bidi="ar-SA"/>
        </w:rPr>
      </w:pPr>
      <w:r>
        <w:rPr>
          <w:rFonts w:hint="eastAsia" w:ascii="楷体" w:hAnsi="楷体" w:eastAsia="楷体" w:cs="楷体"/>
          <w:b w:val="0"/>
          <w:bCs w:val="0"/>
          <w:kern w:val="2"/>
          <w:sz w:val="32"/>
          <w:szCs w:val="32"/>
          <w:lang w:val="en-US" w:eastAsia="zh-CN" w:bidi="ar-SA"/>
        </w:rPr>
        <w:t>7.1 投融资总体情况</w:t>
      </w:r>
    </w:p>
    <w:p>
      <w:pPr>
        <w:pStyle w:val="22"/>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default" w:ascii="仿宋" w:hAnsi="仿宋" w:eastAsia="仿宋" w:cs="仿宋"/>
          <w:b w:val="0"/>
          <w:bCs w:val="0"/>
          <w:kern w:val="2"/>
          <w:sz w:val="32"/>
          <w:szCs w:val="32"/>
          <w:lang w:val="en-US" w:eastAsia="zh-CN" w:bidi="ar-SA"/>
        </w:rPr>
      </w:pPr>
      <w:r>
        <w:rPr>
          <w:rFonts w:hint="default" w:ascii="仿宋" w:hAnsi="仿宋" w:eastAsia="仿宋" w:cs="仿宋"/>
          <w:b w:val="0"/>
          <w:bCs w:val="0"/>
          <w:kern w:val="2"/>
          <w:sz w:val="32"/>
          <w:szCs w:val="32"/>
          <w:lang w:val="en-US" w:eastAsia="zh-CN" w:bidi="ar-SA"/>
        </w:rPr>
        <w:t>截至2025年末，本行资产总额达609.42亿元，各项贷款余额337.95亿元，其中绿色信贷余额30.</w:t>
      </w:r>
      <w:r>
        <w:rPr>
          <w:rFonts w:hint="eastAsia" w:ascii="仿宋" w:hAnsi="仿宋" w:eastAsia="仿宋" w:cs="仿宋"/>
          <w:b w:val="0"/>
          <w:bCs w:val="0"/>
          <w:kern w:val="2"/>
          <w:sz w:val="32"/>
          <w:szCs w:val="32"/>
          <w:lang w:val="en-US" w:eastAsia="zh-CN" w:bidi="ar-SA"/>
        </w:rPr>
        <w:t>5</w:t>
      </w:r>
      <w:r>
        <w:rPr>
          <w:rFonts w:hint="default" w:ascii="仿宋" w:hAnsi="仿宋" w:eastAsia="仿宋" w:cs="仿宋"/>
          <w:b w:val="0"/>
          <w:bCs w:val="0"/>
          <w:kern w:val="2"/>
          <w:sz w:val="32"/>
          <w:szCs w:val="32"/>
          <w:lang w:val="en-US" w:eastAsia="zh-CN" w:bidi="ar-SA"/>
        </w:rPr>
        <w:t>亿元，占一般性贷款9.9</w:t>
      </w:r>
      <w:r>
        <w:rPr>
          <w:rFonts w:hint="eastAsia" w:ascii="仿宋" w:hAnsi="仿宋" w:eastAsia="仿宋" w:cs="仿宋"/>
          <w:b w:val="0"/>
          <w:bCs w:val="0"/>
          <w:kern w:val="2"/>
          <w:sz w:val="32"/>
          <w:szCs w:val="32"/>
          <w:lang w:val="en-US" w:eastAsia="zh-CN" w:bidi="ar-SA"/>
        </w:rPr>
        <w:t>4</w:t>
      </w:r>
      <w:r>
        <w:rPr>
          <w:rFonts w:hint="default" w:ascii="仿宋" w:hAnsi="仿宋" w:eastAsia="仿宋" w:cs="仿宋"/>
          <w:b w:val="0"/>
          <w:bCs w:val="0"/>
          <w:kern w:val="2"/>
          <w:sz w:val="32"/>
          <w:szCs w:val="32"/>
          <w:lang w:val="en-US" w:eastAsia="zh-CN" w:bidi="ar-SA"/>
        </w:rPr>
        <w:t>%，较年初新增4.</w:t>
      </w:r>
      <w:r>
        <w:rPr>
          <w:rFonts w:hint="eastAsia" w:ascii="仿宋" w:hAnsi="仿宋" w:eastAsia="仿宋" w:cs="仿宋"/>
          <w:b w:val="0"/>
          <w:bCs w:val="0"/>
          <w:kern w:val="2"/>
          <w:sz w:val="32"/>
          <w:szCs w:val="32"/>
          <w:lang w:val="en-US" w:eastAsia="zh-CN" w:bidi="ar-SA"/>
        </w:rPr>
        <w:t>41</w:t>
      </w:r>
      <w:r>
        <w:rPr>
          <w:rFonts w:hint="default" w:ascii="仿宋" w:hAnsi="仿宋" w:eastAsia="仿宋" w:cs="仿宋"/>
          <w:b w:val="0"/>
          <w:bCs w:val="0"/>
          <w:kern w:val="2"/>
          <w:sz w:val="32"/>
          <w:szCs w:val="32"/>
          <w:lang w:val="en-US" w:eastAsia="zh-CN" w:bidi="ar-SA"/>
        </w:rPr>
        <w:t>亿元，增幅16.</w:t>
      </w:r>
      <w:r>
        <w:rPr>
          <w:rFonts w:hint="eastAsia" w:ascii="仿宋" w:hAnsi="仿宋" w:eastAsia="仿宋" w:cs="仿宋"/>
          <w:b w:val="0"/>
          <w:bCs w:val="0"/>
          <w:kern w:val="2"/>
          <w:sz w:val="32"/>
          <w:szCs w:val="32"/>
          <w:lang w:val="en-US" w:eastAsia="zh-CN" w:bidi="ar-SA"/>
        </w:rPr>
        <w:t>9</w:t>
      </w:r>
      <w:r>
        <w:rPr>
          <w:rFonts w:hint="default" w:ascii="仿宋" w:hAnsi="仿宋" w:eastAsia="仿宋" w:cs="仿宋"/>
          <w:b w:val="0"/>
          <w:bCs w:val="0"/>
          <w:kern w:val="2"/>
          <w:sz w:val="32"/>
          <w:szCs w:val="32"/>
          <w:lang w:val="en-US" w:eastAsia="zh-CN" w:bidi="ar-SA"/>
        </w:rPr>
        <w:t>%；持有绿色债券余额0.10亿元；碳减排支持工具贷款余额1.05亿元。绿色投融资重点支持生态保护修复、清洁能源、基础设施绿色升级等领域。</w:t>
      </w:r>
    </w:p>
    <w:p>
      <w:pPr>
        <w:pStyle w:val="5"/>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楷体" w:hAnsi="楷体" w:eastAsia="楷体" w:cs="楷体"/>
          <w:b w:val="0"/>
          <w:bCs w:val="0"/>
          <w:kern w:val="2"/>
          <w:sz w:val="32"/>
          <w:szCs w:val="32"/>
          <w:lang w:val="en-US" w:eastAsia="zh-CN" w:bidi="ar-SA"/>
        </w:rPr>
      </w:pPr>
      <w:r>
        <w:rPr>
          <w:rFonts w:hint="eastAsia" w:ascii="楷体" w:hAnsi="楷体" w:eastAsia="楷体" w:cs="楷体"/>
          <w:b w:val="0"/>
          <w:bCs w:val="0"/>
          <w:kern w:val="2"/>
          <w:sz w:val="32"/>
          <w:szCs w:val="32"/>
          <w:lang w:val="en-US" w:eastAsia="zh-CN" w:bidi="ar-SA"/>
        </w:rPr>
        <w:t>7.2 绿色信贷分布情况</w:t>
      </w:r>
    </w:p>
    <w:tbl>
      <w:tblPr>
        <w:tblStyle w:val="15"/>
        <w:tblW w:w="921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233"/>
        <w:gridCol w:w="1140"/>
        <w:gridCol w:w="1155"/>
        <w:gridCol w:w="468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0" w:hRule="atLeast"/>
        </w:trPr>
        <w:tc>
          <w:tcPr>
            <w:tcW w:w="2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Arial" w:hAnsi="Arial" w:eastAsia="等线" w:cs="Arial"/>
                <w:sz w:val="22"/>
                <w:szCs w:val="22"/>
              </w:rPr>
            </w:pPr>
            <w:r>
              <w:rPr>
                <w:rFonts w:hint="eastAsia" w:ascii="Arial" w:hAnsi="Arial" w:eastAsia="等线" w:cs="Arial"/>
                <w:sz w:val="22"/>
                <w:szCs w:val="22"/>
                <w:lang w:val="en-US" w:eastAsia="zh-CN"/>
              </w:rPr>
              <w:t>贷款类别</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220" w:firstLineChars="100"/>
              <w:jc w:val="left"/>
              <w:textAlignment w:val="center"/>
              <w:rPr>
                <w:rFonts w:hint="eastAsia" w:ascii="Arial" w:hAnsi="Arial" w:eastAsia="等线" w:cs="Arial"/>
                <w:sz w:val="22"/>
                <w:szCs w:val="22"/>
              </w:rPr>
            </w:pPr>
            <w:r>
              <w:rPr>
                <w:rFonts w:hint="eastAsia" w:ascii="Arial" w:hAnsi="Arial" w:eastAsia="等线" w:cs="Arial"/>
                <w:sz w:val="22"/>
                <w:szCs w:val="22"/>
                <w:lang w:val="en-US" w:eastAsia="zh-CN"/>
              </w:rPr>
              <w:t>余额 （亿元）</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Arial" w:hAnsi="Arial" w:eastAsia="等线" w:cs="Arial"/>
                <w:sz w:val="22"/>
                <w:szCs w:val="22"/>
              </w:rPr>
            </w:pPr>
            <w:r>
              <w:rPr>
                <w:rFonts w:hint="eastAsia" w:ascii="Arial" w:hAnsi="Arial" w:eastAsia="等线" w:cs="Arial"/>
                <w:sz w:val="22"/>
                <w:szCs w:val="22"/>
                <w:lang w:val="en-US" w:eastAsia="zh-CN"/>
              </w:rPr>
              <w:t>占绿色信贷比重</w:t>
            </w:r>
          </w:p>
        </w:tc>
        <w:tc>
          <w:tcPr>
            <w:tcW w:w="4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Arial" w:hAnsi="Arial" w:eastAsia="等线" w:cs="Arial"/>
                <w:sz w:val="22"/>
                <w:szCs w:val="22"/>
              </w:rPr>
            </w:pPr>
            <w:r>
              <w:rPr>
                <w:rFonts w:hint="eastAsia" w:ascii="Arial" w:hAnsi="Arial" w:eastAsia="等线" w:cs="Arial"/>
                <w:sz w:val="22"/>
                <w:szCs w:val="22"/>
                <w:lang w:val="en-US" w:eastAsia="zh-CN"/>
              </w:rPr>
              <w:t>主要支持领域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2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eastAsia="等线" w:cs="Arial"/>
                <w:sz w:val="22"/>
                <w:szCs w:val="22"/>
                <w:lang w:val="en-US"/>
              </w:rPr>
            </w:pPr>
            <w:r>
              <w:rPr>
                <w:rFonts w:hint="eastAsia" w:ascii="Arial" w:hAnsi="Arial" w:eastAsia="等线" w:cs="Arial"/>
                <w:sz w:val="22"/>
                <w:szCs w:val="22"/>
                <w:lang w:val="en-US" w:eastAsia="zh-CN"/>
              </w:rPr>
              <w:t>能源绿色低碳转型领域</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Arial" w:hAnsi="Arial" w:eastAsia="等线" w:cs="Arial"/>
                <w:sz w:val="22"/>
                <w:szCs w:val="22"/>
              </w:rPr>
            </w:pPr>
            <w:r>
              <w:rPr>
                <w:rFonts w:hint="eastAsia" w:ascii="Arial" w:hAnsi="Arial" w:eastAsia="等线" w:cs="Arial"/>
                <w:sz w:val="22"/>
                <w:szCs w:val="22"/>
                <w:lang w:val="en-US" w:eastAsia="zh-CN"/>
              </w:rPr>
              <w:t>18.29</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Arial" w:hAnsi="Arial" w:eastAsia="等线" w:cs="Arial"/>
                <w:sz w:val="22"/>
                <w:szCs w:val="22"/>
              </w:rPr>
            </w:pPr>
            <w:r>
              <w:rPr>
                <w:rFonts w:hint="eastAsia" w:ascii="Arial" w:hAnsi="Arial" w:eastAsia="等线" w:cs="Arial"/>
                <w:sz w:val="22"/>
                <w:szCs w:val="22"/>
                <w:lang w:val="en-US" w:eastAsia="zh-CN"/>
              </w:rPr>
              <w:t>59.97%</w:t>
            </w:r>
          </w:p>
        </w:tc>
        <w:tc>
          <w:tcPr>
            <w:tcW w:w="4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Arial" w:hAnsi="Arial" w:eastAsia="等线" w:cs="Arial"/>
                <w:sz w:val="22"/>
                <w:szCs w:val="22"/>
              </w:rPr>
            </w:pPr>
            <w:r>
              <w:rPr>
                <w:rFonts w:hint="eastAsia" w:ascii="Arial" w:hAnsi="Arial" w:eastAsia="等线" w:cs="Arial"/>
                <w:sz w:val="22"/>
                <w:szCs w:val="22"/>
                <w:lang w:val="en-US" w:eastAsia="zh-CN"/>
              </w:rPr>
              <w:t>大型水力发电设施建设与运营、太阳能利用设施建设与运营、智能电网建设与运营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4" w:hRule="atLeast"/>
        </w:trPr>
        <w:tc>
          <w:tcPr>
            <w:tcW w:w="2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Arial" w:hAnsi="Arial" w:eastAsia="等线" w:cs="Arial"/>
                <w:sz w:val="22"/>
                <w:szCs w:val="22"/>
              </w:rPr>
            </w:pPr>
            <w:r>
              <w:rPr>
                <w:rFonts w:hint="eastAsia" w:ascii="Arial" w:hAnsi="Arial" w:eastAsia="等线" w:cs="Arial"/>
                <w:sz w:val="22"/>
                <w:szCs w:val="22"/>
                <w:lang w:val="en-US" w:eastAsia="zh-CN"/>
              </w:rPr>
              <w:t>生态保护修复和利用</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Arial" w:hAnsi="Arial" w:eastAsia="等线" w:cs="Arial"/>
                <w:sz w:val="22"/>
                <w:szCs w:val="22"/>
              </w:rPr>
            </w:pPr>
            <w:r>
              <w:rPr>
                <w:rFonts w:hint="eastAsia" w:ascii="Arial" w:hAnsi="Arial" w:eastAsia="等线" w:cs="Arial"/>
                <w:sz w:val="22"/>
                <w:szCs w:val="22"/>
                <w:lang w:val="en-US" w:eastAsia="zh-CN"/>
              </w:rPr>
              <w:t>7.26</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Arial" w:hAnsi="Arial" w:eastAsia="等线" w:cs="Arial"/>
                <w:sz w:val="22"/>
                <w:szCs w:val="22"/>
              </w:rPr>
            </w:pPr>
            <w:r>
              <w:rPr>
                <w:rFonts w:hint="eastAsia" w:ascii="Arial" w:hAnsi="Arial" w:eastAsia="等线" w:cs="Arial"/>
                <w:sz w:val="22"/>
                <w:szCs w:val="22"/>
                <w:lang w:val="en-US" w:eastAsia="zh-CN"/>
              </w:rPr>
              <w:t>23.80%</w:t>
            </w:r>
          </w:p>
        </w:tc>
        <w:tc>
          <w:tcPr>
            <w:tcW w:w="4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Arial" w:hAnsi="Arial" w:eastAsia="等线" w:cs="Arial"/>
                <w:sz w:val="22"/>
                <w:szCs w:val="22"/>
              </w:rPr>
            </w:pPr>
            <w:r>
              <w:rPr>
                <w:rFonts w:hint="eastAsia" w:ascii="Arial" w:hAnsi="Arial" w:eastAsia="等线" w:cs="Arial"/>
                <w:sz w:val="22"/>
                <w:szCs w:val="22"/>
                <w:lang w:val="en-US" w:eastAsia="zh-CN"/>
              </w:rPr>
              <w:t>拉萨南北山绿化、</w:t>
            </w:r>
            <w:r>
              <w:rPr>
                <w:rFonts w:ascii="Arial" w:hAnsi="Arial" w:eastAsia="等线" w:cs="Arial"/>
                <w:sz w:val="22"/>
                <w:szCs w:val="22"/>
                <w:lang w:val="en-US" w:eastAsia="zh-CN"/>
              </w:rPr>
              <w:t>“两江四河”造林等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9" w:hRule="atLeast"/>
        </w:trPr>
        <w:tc>
          <w:tcPr>
            <w:tcW w:w="2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Arial" w:hAnsi="Arial" w:eastAsia="等线" w:cs="Arial"/>
                <w:sz w:val="22"/>
                <w:szCs w:val="22"/>
              </w:rPr>
            </w:pPr>
            <w:r>
              <w:rPr>
                <w:rFonts w:hint="eastAsia" w:ascii="Arial" w:hAnsi="Arial" w:eastAsia="等线" w:cs="Arial"/>
                <w:sz w:val="22"/>
                <w:szCs w:val="22"/>
                <w:lang w:val="en-US" w:eastAsia="zh-CN"/>
              </w:rPr>
              <w:t>基础设施绿色升级</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Arial" w:hAnsi="Arial" w:eastAsia="等线" w:cs="Arial"/>
                <w:sz w:val="22"/>
                <w:szCs w:val="22"/>
              </w:rPr>
            </w:pPr>
            <w:r>
              <w:rPr>
                <w:rFonts w:hint="eastAsia" w:ascii="Arial" w:hAnsi="Arial" w:eastAsia="等线" w:cs="Arial"/>
                <w:sz w:val="22"/>
                <w:szCs w:val="22"/>
                <w:lang w:val="en-US" w:eastAsia="zh-CN"/>
              </w:rPr>
              <w:t>2.65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Arial" w:hAnsi="Arial" w:eastAsia="等线" w:cs="Arial"/>
                <w:sz w:val="22"/>
                <w:szCs w:val="22"/>
              </w:rPr>
            </w:pPr>
            <w:r>
              <w:rPr>
                <w:rFonts w:hint="eastAsia" w:ascii="Arial" w:hAnsi="Arial" w:eastAsia="等线" w:cs="Arial"/>
                <w:sz w:val="22"/>
                <w:szCs w:val="22"/>
                <w:lang w:val="en-US" w:eastAsia="zh-CN"/>
              </w:rPr>
              <w:t>8.69%</w:t>
            </w:r>
          </w:p>
        </w:tc>
        <w:tc>
          <w:tcPr>
            <w:tcW w:w="4689"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Arial" w:hAnsi="Arial" w:eastAsia="等线" w:cs="Arial"/>
                <w:sz w:val="22"/>
                <w:szCs w:val="22"/>
              </w:rPr>
            </w:pPr>
            <w:r>
              <w:rPr>
                <w:rFonts w:hint="eastAsia" w:ascii="Arial" w:hAnsi="Arial" w:eastAsia="等线" w:cs="Arial"/>
                <w:sz w:val="22"/>
                <w:szCs w:val="22"/>
                <w:lang w:val="en-US" w:eastAsia="zh-CN"/>
              </w:rPr>
              <w:t>绿色交通、污水处理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9" w:hRule="atLeast"/>
        </w:trPr>
        <w:tc>
          <w:tcPr>
            <w:tcW w:w="2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Arial" w:hAnsi="Arial" w:eastAsia="等线" w:cs="Arial"/>
                <w:sz w:val="22"/>
                <w:szCs w:val="22"/>
              </w:rPr>
            </w:pPr>
            <w:r>
              <w:rPr>
                <w:rFonts w:hint="eastAsia" w:ascii="Arial" w:hAnsi="Arial" w:eastAsia="等线" w:cs="Arial"/>
                <w:sz w:val="22"/>
                <w:szCs w:val="22"/>
                <w:lang w:val="en-US" w:eastAsia="zh-CN"/>
              </w:rPr>
              <w:t>资源循环利用</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Arial" w:hAnsi="Arial" w:eastAsia="等线" w:cs="Arial"/>
                <w:sz w:val="22"/>
                <w:szCs w:val="22"/>
              </w:rPr>
            </w:pPr>
            <w:r>
              <w:rPr>
                <w:rFonts w:hint="eastAsia" w:ascii="Arial" w:hAnsi="Arial" w:eastAsia="等线" w:cs="Arial"/>
                <w:sz w:val="22"/>
                <w:szCs w:val="22"/>
                <w:lang w:val="en-US" w:eastAsia="zh-CN"/>
              </w:rPr>
              <w:t>1.39</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Arial" w:hAnsi="Arial" w:eastAsia="等线" w:cs="Arial"/>
                <w:sz w:val="22"/>
                <w:szCs w:val="22"/>
              </w:rPr>
            </w:pPr>
            <w:r>
              <w:rPr>
                <w:rFonts w:hint="eastAsia" w:ascii="Arial" w:hAnsi="Arial" w:eastAsia="等线" w:cs="Arial"/>
                <w:sz w:val="22"/>
                <w:szCs w:val="22"/>
                <w:lang w:val="en-US" w:eastAsia="zh-CN"/>
              </w:rPr>
              <w:t>4.56%</w:t>
            </w:r>
          </w:p>
        </w:tc>
        <w:tc>
          <w:tcPr>
            <w:tcW w:w="4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Arial" w:hAnsi="Arial" w:eastAsia="等线" w:cs="Arial"/>
                <w:sz w:val="22"/>
                <w:szCs w:val="22"/>
              </w:rPr>
            </w:pPr>
            <w:r>
              <w:rPr>
                <w:rFonts w:hint="eastAsia" w:ascii="Arial" w:hAnsi="Arial" w:eastAsia="等线" w:cs="Arial"/>
                <w:sz w:val="22"/>
                <w:szCs w:val="22"/>
                <w:lang w:val="en-US" w:eastAsia="zh-CN"/>
              </w:rPr>
              <w:t>矿产资源综合利用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9" w:hRule="atLeast"/>
        </w:trPr>
        <w:tc>
          <w:tcPr>
            <w:tcW w:w="2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Arial" w:hAnsi="Arial" w:eastAsia="等线" w:cs="Arial"/>
                <w:sz w:val="22"/>
                <w:szCs w:val="22"/>
              </w:rPr>
            </w:pPr>
            <w:r>
              <w:rPr>
                <w:rFonts w:hint="eastAsia" w:ascii="Arial" w:hAnsi="Arial" w:eastAsia="等线" w:cs="Arial"/>
                <w:sz w:val="22"/>
                <w:szCs w:val="22"/>
                <w:lang w:val="en-US" w:eastAsia="zh-CN"/>
              </w:rPr>
              <w:t>节能降碳产业</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Arial" w:hAnsi="Arial" w:eastAsia="等线" w:cs="Arial"/>
                <w:sz w:val="22"/>
                <w:szCs w:val="22"/>
              </w:rPr>
            </w:pPr>
            <w:r>
              <w:rPr>
                <w:rFonts w:hint="eastAsia" w:ascii="Arial" w:hAnsi="Arial" w:eastAsia="等线" w:cs="Arial"/>
                <w:sz w:val="22"/>
                <w:szCs w:val="22"/>
                <w:lang w:val="en-US" w:eastAsia="zh-CN"/>
              </w:rPr>
              <w:t>0.79</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Arial" w:hAnsi="Arial" w:eastAsia="等线" w:cs="Arial"/>
                <w:sz w:val="22"/>
                <w:szCs w:val="22"/>
              </w:rPr>
            </w:pPr>
            <w:r>
              <w:rPr>
                <w:rFonts w:hint="eastAsia" w:ascii="Arial" w:hAnsi="Arial" w:eastAsia="等线" w:cs="Arial"/>
                <w:sz w:val="22"/>
                <w:szCs w:val="22"/>
                <w:lang w:val="en-US" w:eastAsia="zh-CN"/>
              </w:rPr>
              <w:t>2.59%</w:t>
            </w:r>
          </w:p>
        </w:tc>
        <w:tc>
          <w:tcPr>
            <w:tcW w:w="4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Arial" w:hAnsi="Arial" w:eastAsia="等线" w:cs="Arial"/>
                <w:sz w:val="22"/>
                <w:szCs w:val="22"/>
              </w:rPr>
            </w:pPr>
            <w:r>
              <w:rPr>
                <w:rFonts w:hint="eastAsia" w:ascii="Arial" w:hAnsi="Arial" w:eastAsia="等线" w:cs="Arial"/>
                <w:sz w:val="22"/>
                <w:szCs w:val="22"/>
                <w:lang w:val="en-US" w:eastAsia="zh-CN"/>
              </w:rPr>
              <w:t>电网节能改造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9" w:hRule="atLeast"/>
        </w:trPr>
        <w:tc>
          <w:tcPr>
            <w:tcW w:w="2233"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Arial" w:hAnsi="Arial" w:eastAsia="等线" w:cs="Arial"/>
                <w:sz w:val="22"/>
                <w:szCs w:val="22"/>
              </w:rPr>
            </w:pPr>
            <w:r>
              <w:rPr>
                <w:rFonts w:hint="eastAsia" w:ascii="Arial" w:hAnsi="Arial" w:eastAsia="等线" w:cs="Arial"/>
                <w:sz w:val="22"/>
                <w:szCs w:val="22"/>
                <w:lang w:val="en-US" w:eastAsia="zh-CN"/>
              </w:rPr>
              <w:t>绿色贸易贷款</w:t>
            </w:r>
          </w:p>
        </w:tc>
        <w:tc>
          <w:tcPr>
            <w:tcW w:w="114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Arial" w:hAnsi="Arial" w:eastAsia="等线" w:cs="Arial"/>
                <w:sz w:val="22"/>
                <w:szCs w:val="22"/>
              </w:rPr>
            </w:pPr>
            <w:r>
              <w:rPr>
                <w:rFonts w:hint="eastAsia" w:ascii="Arial" w:hAnsi="Arial" w:eastAsia="等线" w:cs="Arial"/>
                <w:sz w:val="22"/>
                <w:szCs w:val="22"/>
                <w:lang w:val="en-US" w:eastAsia="zh-CN"/>
              </w:rPr>
              <w:t>0.12</w:t>
            </w:r>
          </w:p>
        </w:tc>
        <w:tc>
          <w:tcPr>
            <w:tcW w:w="115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Arial" w:hAnsi="Arial" w:eastAsia="等线" w:cs="Arial"/>
                <w:sz w:val="22"/>
                <w:szCs w:val="22"/>
              </w:rPr>
            </w:pPr>
            <w:r>
              <w:rPr>
                <w:rFonts w:hint="eastAsia" w:ascii="Arial" w:hAnsi="Arial" w:eastAsia="等线" w:cs="Arial"/>
                <w:sz w:val="22"/>
                <w:szCs w:val="22"/>
                <w:lang w:val="en-US" w:eastAsia="zh-CN"/>
              </w:rPr>
              <w:t>0.39%</w:t>
            </w:r>
          </w:p>
        </w:tc>
        <w:tc>
          <w:tcPr>
            <w:tcW w:w="4689"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Arial" w:hAnsi="Arial" w:eastAsia="等线" w:cs="Arial"/>
                <w:sz w:val="22"/>
                <w:szCs w:val="22"/>
              </w:rPr>
            </w:pPr>
            <w:r>
              <w:rPr>
                <w:rFonts w:hint="eastAsia" w:ascii="Arial" w:hAnsi="Arial" w:eastAsia="等线" w:cs="Arial"/>
                <w:sz w:val="22"/>
                <w:szCs w:val="22"/>
                <w:lang w:val="en-US" w:eastAsia="zh-CN"/>
              </w:rPr>
              <w:t>风电项目材料贸易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Arial" w:hAnsi="Arial" w:eastAsia="等线" w:cs="Arial"/>
                <w:sz w:val="22"/>
                <w:szCs w:val="22"/>
              </w:rPr>
            </w:pPr>
            <w:r>
              <w:rPr>
                <w:rFonts w:hint="eastAsia" w:ascii="Arial" w:hAnsi="Arial" w:eastAsia="等线" w:cs="Arial"/>
                <w:sz w:val="22"/>
                <w:szCs w:val="22"/>
                <w:lang w:val="en-US" w:eastAsia="zh-CN"/>
              </w:rPr>
              <w:t>合计</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Arial" w:hAnsi="Arial" w:eastAsia="等线" w:cs="Arial"/>
                <w:sz w:val="22"/>
                <w:szCs w:val="22"/>
              </w:rPr>
            </w:pPr>
            <w:r>
              <w:rPr>
                <w:rFonts w:hint="eastAsia" w:ascii="Arial" w:hAnsi="Arial" w:eastAsia="等线" w:cs="Arial"/>
                <w:sz w:val="22"/>
                <w:szCs w:val="22"/>
                <w:lang w:val="en-US" w:eastAsia="zh-CN"/>
              </w:rPr>
              <w:t xml:space="preserve">30.50 </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Arial" w:hAnsi="Arial" w:eastAsia="等线" w:cs="Arial"/>
                <w:sz w:val="22"/>
                <w:szCs w:val="22"/>
              </w:rPr>
            </w:pPr>
            <w:r>
              <w:rPr>
                <w:rFonts w:hint="eastAsia" w:ascii="Arial" w:hAnsi="Arial" w:eastAsia="等线" w:cs="Arial"/>
                <w:sz w:val="22"/>
                <w:szCs w:val="22"/>
                <w:lang w:val="en-US" w:eastAsia="zh-CN"/>
              </w:rPr>
              <w:t>100%</w:t>
            </w:r>
          </w:p>
        </w:tc>
        <w:tc>
          <w:tcPr>
            <w:tcW w:w="468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Arial" w:hAnsi="Arial" w:eastAsia="等线" w:cs="Arial"/>
                <w:sz w:val="22"/>
                <w:szCs w:val="22"/>
                <w:lang w:val="en-US" w:eastAsia="zh-CN"/>
              </w:rPr>
            </w:pPr>
            <w:r>
              <w:rPr>
                <w:rFonts w:hint="eastAsia" w:ascii="Arial" w:hAnsi="Arial" w:eastAsia="等线" w:cs="Arial"/>
                <w:sz w:val="22"/>
                <w:szCs w:val="22"/>
                <w:lang w:val="en-US" w:eastAsia="zh-CN"/>
              </w:rPr>
              <w:t>-</w:t>
            </w:r>
          </w:p>
        </w:tc>
      </w:tr>
    </w:tbl>
    <w:p>
      <w:pPr>
        <w:pStyle w:val="5"/>
        <w:ind w:firstLine="640" w:firstLineChars="200"/>
        <w:rPr>
          <w:rFonts w:hint="eastAsia" w:ascii="楷体" w:hAnsi="楷体" w:eastAsia="楷体" w:cs="楷体"/>
          <w:b w:val="0"/>
          <w:bCs w:val="0"/>
          <w:kern w:val="2"/>
          <w:sz w:val="32"/>
          <w:szCs w:val="32"/>
          <w:lang w:val="en-US" w:eastAsia="zh-CN" w:bidi="ar-SA"/>
        </w:rPr>
      </w:pPr>
      <w:r>
        <w:rPr>
          <w:rFonts w:hint="eastAsia" w:ascii="楷体" w:hAnsi="楷体" w:eastAsia="楷体" w:cs="楷体"/>
          <w:b w:val="0"/>
          <w:bCs w:val="0"/>
          <w:kern w:val="2"/>
          <w:sz w:val="32"/>
          <w:szCs w:val="32"/>
          <w:lang w:val="en-US" w:eastAsia="zh-CN" w:bidi="ar-SA"/>
        </w:rPr>
        <w:t>7.3 环境效益量化披露</w:t>
      </w:r>
    </w:p>
    <w:tbl>
      <w:tblPr>
        <w:tblStyle w:val="15"/>
        <w:tblW w:w="4935" w:type="pct"/>
        <w:tblInd w:w="118" w:type="dxa"/>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Layout w:type="fixed"/>
        <w:tblCellMar>
          <w:top w:w="0" w:type="dxa"/>
          <w:left w:w="10" w:type="dxa"/>
          <w:bottom w:w="0" w:type="dxa"/>
          <w:right w:w="10" w:type="dxa"/>
        </w:tblCellMar>
      </w:tblPr>
      <w:tblGrid>
        <w:gridCol w:w="4245"/>
        <w:gridCol w:w="1813"/>
        <w:gridCol w:w="3088"/>
      </w:tblGrid>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c>
          <w:tcPr>
            <w:tcW w:w="2320" w:type="pct"/>
            <w:tcBorders>
              <w:tl2br w:val="nil"/>
              <w:tr2bl w:val="nil"/>
            </w:tcBorders>
            <w:shd w:val="clear" w:color="auto" w:fill="auto"/>
            <w:tcMar>
              <w:top w:w="60" w:type="dxa"/>
              <w:left w:w="120" w:type="dxa"/>
              <w:bottom w:w="30" w:type="dxa"/>
              <w:right w:w="120" w:type="dxa"/>
            </w:tcMar>
            <w:vAlign w:val="top"/>
          </w:tcPr>
          <w:p>
            <w:pPr>
              <w:keepNext w:val="0"/>
              <w:keepLines w:val="0"/>
              <w:widowControl/>
              <w:suppressLineNumbers w:val="0"/>
              <w:jc w:val="left"/>
              <w:textAlignment w:val="center"/>
              <w:rPr>
                <w:rFonts w:hint="eastAsia" w:ascii="Arial" w:hAnsi="Arial" w:eastAsia="等线" w:cs="Arial"/>
                <w:sz w:val="22"/>
                <w:szCs w:val="22"/>
                <w:lang w:val="en-US" w:eastAsia="zh-CN"/>
              </w:rPr>
            </w:pPr>
            <w:r>
              <w:rPr>
                <w:rFonts w:hint="eastAsia" w:ascii="Arial" w:hAnsi="Arial" w:eastAsia="等线" w:cs="Arial"/>
                <w:sz w:val="22"/>
                <w:szCs w:val="22"/>
                <w:lang w:val="en-US" w:eastAsia="zh-CN"/>
              </w:rPr>
              <w:t>效益指标</w:t>
            </w:r>
          </w:p>
        </w:tc>
        <w:tc>
          <w:tcPr>
            <w:tcW w:w="991" w:type="pct"/>
            <w:tcBorders>
              <w:tl2br w:val="nil"/>
              <w:tr2bl w:val="nil"/>
            </w:tcBorders>
            <w:shd w:val="clear" w:color="auto" w:fill="auto"/>
            <w:tcMar>
              <w:top w:w="60" w:type="dxa"/>
              <w:left w:w="120" w:type="dxa"/>
              <w:bottom w:w="30" w:type="dxa"/>
              <w:right w:w="120" w:type="dxa"/>
            </w:tcMar>
            <w:vAlign w:val="top"/>
          </w:tcPr>
          <w:p>
            <w:pPr>
              <w:keepNext w:val="0"/>
              <w:keepLines w:val="0"/>
              <w:widowControl/>
              <w:suppressLineNumbers w:val="0"/>
              <w:jc w:val="left"/>
              <w:textAlignment w:val="center"/>
              <w:rPr>
                <w:rFonts w:hint="eastAsia" w:ascii="Arial" w:hAnsi="Arial" w:eastAsia="等线" w:cs="Arial"/>
                <w:sz w:val="22"/>
                <w:szCs w:val="22"/>
                <w:lang w:val="en-US" w:eastAsia="zh-CN"/>
              </w:rPr>
            </w:pPr>
            <w:r>
              <w:rPr>
                <w:rFonts w:hint="eastAsia" w:ascii="Arial" w:hAnsi="Arial" w:eastAsia="等线" w:cs="Arial"/>
                <w:sz w:val="22"/>
                <w:szCs w:val="22"/>
                <w:lang w:val="en-US" w:eastAsia="zh-CN"/>
              </w:rPr>
              <w:t>2025年</w:t>
            </w:r>
          </w:p>
        </w:tc>
        <w:tc>
          <w:tcPr>
            <w:tcW w:w="1688" w:type="pct"/>
            <w:tcBorders>
              <w:tl2br w:val="nil"/>
              <w:tr2bl w:val="nil"/>
            </w:tcBorders>
            <w:shd w:val="clear" w:color="auto" w:fill="auto"/>
            <w:tcMar>
              <w:top w:w="60" w:type="dxa"/>
              <w:left w:w="120" w:type="dxa"/>
              <w:bottom w:w="30" w:type="dxa"/>
              <w:right w:w="120" w:type="dxa"/>
            </w:tcMar>
            <w:vAlign w:val="top"/>
          </w:tcPr>
          <w:p>
            <w:pPr>
              <w:keepNext w:val="0"/>
              <w:keepLines w:val="0"/>
              <w:widowControl/>
              <w:suppressLineNumbers w:val="0"/>
              <w:jc w:val="left"/>
              <w:textAlignment w:val="center"/>
              <w:rPr>
                <w:rFonts w:hint="eastAsia" w:ascii="Arial" w:hAnsi="Arial" w:eastAsia="等线" w:cs="Arial"/>
                <w:sz w:val="22"/>
                <w:szCs w:val="22"/>
                <w:lang w:val="en-US" w:eastAsia="zh-CN"/>
              </w:rPr>
            </w:pPr>
            <w:r>
              <w:rPr>
                <w:rFonts w:hint="eastAsia" w:ascii="Arial" w:hAnsi="Arial" w:eastAsia="等线" w:cs="Arial"/>
                <w:sz w:val="22"/>
                <w:szCs w:val="22"/>
                <w:lang w:val="en-US" w:eastAsia="zh-CN"/>
              </w:rPr>
              <w:t>备注</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rPr>
          <w:trHeight w:val="375" w:hRule="atLeast"/>
        </w:trPr>
        <w:tc>
          <w:tcPr>
            <w:tcW w:w="2320" w:type="pct"/>
            <w:tcBorders>
              <w:tl2br w:val="nil"/>
              <w:tr2bl w:val="nil"/>
            </w:tcBorders>
            <w:shd w:val="clear" w:color="auto" w:fill="auto"/>
            <w:tcMar>
              <w:top w:w="60" w:type="dxa"/>
              <w:left w:w="120" w:type="dxa"/>
              <w:bottom w:w="30" w:type="dxa"/>
              <w:right w:w="120" w:type="dxa"/>
            </w:tcMar>
            <w:vAlign w:val="top"/>
          </w:tcPr>
          <w:p>
            <w:pPr>
              <w:keepNext w:val="0"/>
              <w:keepLines w:val="0"/>
              <w:widowControl/>
              <w:suppressLineNumbers w:val="0"/>
              <w:jc w:val="left"/>
              <w:textAlignment w:val="center"/>
              <w:rPr>
                <w:rFonts w:hint="eastAsia" w:ascii="Arial" w:hAnsi="Arial" w:eastAsia="等线" w:cs="Arial"/>
                <w:sz w:val="22"/>
                <w:szCs w:val="22"/>
                <w:lang w:val="en-US" w:eastAsia="zh-CN"/>
              </w:rPr>
            </w:pPr>
            <w:r>
              <w:rPr>
                <w:rFonts w:hint="eastAsia" w:ascii="Arial" w:hAnsi="Arial" w:eastAsia="等线" w:cs="Arial"/>
                <w:sz w:val="22"/>
                <w:szCs w:val="22"/>
                <w:lang w:val="en-US" w:eastAsia="zh-CN"/>
              </w:rPr>
              <w:t>二氧化碳减排量（预计吨二氧化碳当量）</w:t>
            </w:r>
          </w:p>
        </w:tc>
        <w:tc>
          <w:tcPr>
            <w:tcW w:w="991" w:type="pct"/>
            <w:tcBorders>
              <w:tl2br w:val="nil"/>
              <w:tr2bl w:val="nil"/>
            </w:tcBorders>
            <w:shd w:val="clear" w:color="auto" w:fill="auto"/>
            <w:tcMar>
              <w:top w:w="60" w:type="dxa"/>
              <w:left w:w="120" w:type="dxa"/>
              <w:bottom w:w="30" w:type="dxa"/>
              <w:right w:w="120" w:type="dxa"/>
            </w:tcMar>
            <w:vAlign w:val="top"/>
          </w:tcPr>
          <w:p>
            <w:pPr>
              <w:keepNext w:val="0"/>
              <w:keepLines w:val="0"/>
              <w:widowControl/>
              <w:suppressLineNumbers w:val="0"/>
              <w:jc w:val="left"/>
              <w:textAlignment w:val="center"/>
              <w:rPr>
                <w:rFonts w:hint="eastAsia" w:ascii="Arial" w:hAnsi="Arial" w:eastAsia="等线" w:cs="Arial"/>
                <w:sz w:val="22"/>
                <w:szCs w:val="22"/>
                <w:lang w:val="en-US" w:eastAsia="zh-CN"/>
              </w:rPr>
            </w:pPr>
            <w:r>
              <w:rPr>
                <w:rFonts w:hint="eastAsia" w:ascii="Arial" w:hAnsi="Arial" w:eastAsia="等线" w:cs="Arial"/>
                <w:sz w:val="22"/>
                <w:szCs w:val="22"/>
                <w:lang w:val="en-US" w:eastAsia="zh-CN"/>
              </w:rPr>
              <w:t>22,897.36</w:t>
            </w:r>
          </w:p>
        </w:tc>
        <w:tc>
          <w:tcPr>
            <w:tcW w:w="1688" w:type="pct"/>
            <w:tcBorders>
              <w:tl2br w:val="nil"/>
              <w:tr2bl w:val="nil"/>
            </w:tcBorders>
            <w:shd w:val="clear" w:color="auto" w:fill="auto"/>
            <w:tcMar>
              <w:top w:w="60" w:type="dxa"/>
              <w:left w:w="120" w:type="dxa"/>
              <w:bottom w:w="30" w:type="dxa"/>
              <w:right w:w="120" w:type="dxa"/>
            </w:tcMar>
            <w:vAlign w:val="top"/>
          </w:tcPr>
          <w:p>
            <w:pPr>
              <w:keepNext w:val="0"/>
              <w:keepLines w:val="0"/>
              <w:widowControl/>
              <w:suppressLineNumbers w:val="0"/>
              <w:jc w:val="left"/>
              <w:textAlignment w:val="center"/>
              <w:rPr>
                <w:rFonts w:hint="eastAsia" w:ascii="Arial" w:hAnsi="Arial" w:eastAsia="等线" w:cs="Arial"/>
                <w:sz w:val="22"/>
                <w:szCs w:val="22"/>
                <w:lang w:val="en-US" w:eastAsia="zh-CN"/>
              </w:rPr>
            </w:pPr>
            <w:r>
              <w:rPr>
                <w:rFonts w:hint="eastAsia" w:ascii="Arial" w:hAnsi="Arial" w:eastAsia="等线" w:cs="Arial"/>
                <w:sz w:val="22"/>
                <w:szCs w:val="22"/>
                <w:lang w:val="en-US" w:eastAsia="zh-CN"/>
              </w:rPr>
              <w:t>碳减排支持工具项目</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c>
          <w:tcPr>
            <w:tcW w:w="2320" w:type="pct"/>
            <w:tcBorders>
              <w:tl2br w:val="nil"/>
              <w:tr2bl w:val="nil"/>
            </w:tcBorders>
            <w:shd w:val="clear" w:color="auto" w:fill="auto"/>
            <w:tcMar>
              <w:top w:w="60" w:type="dxa"/>
              <w:left w:w="120" w:type="dxa"/>
              <w:bottom w:w="30" w:type="dxa"/>
              <w:right w:w="120" w:type="dxa"/>
            </w:tcMar>
            <w:vAlign w:val="top"/>
          </w:tcPr>
          <w:p>
            <w:pPr>
              <w:keepNext w:val="0"/>
              <w:keepLines w:val="0"/>
              <w:widowControl/>
              <w:suppressLineNumbers w:val="0"/>
              <w:jc w:val="left"/>
              <w:textAlignment w:val="center"/>
              <w:rPr>
                <w:rFonts w:hint="eastAsia" w:ascii="Arial" w:hAnsi="Arial" w:eastAsia="等线" w:cs="Arial"/>
                <w:sz w:val="22"/>
                <w:szCs w:val="22"/>
                <w:lang w:val="en-US" w:eastAsia="zh-CN"/>
              </w:rPr>
            </w:pPr>
            <w:r>
              <w:rPr>
                <w:rFonts w:hint="eastAsia" w:ascii="Arial" w:hAnsi="Arial" w:eastAsia="等线" w:cs="Arial"/>
                <w:sz w:val="22"/>
                <w:szCs w:val="22"/>
                <w:lang w:val="en-US" w:eastAsia="zh-CN"/>
              </w:rPr>
              <w:t>带动就业人次（人次）</w:t>
            </w:r>
          </w:p>
        </w:tc>
        <w:tc>
          <w:tcPr>
            <w:tcW w:w="991" w:type="pct"/>
            <w:tcBorders>
              <w:tl2br w:val="nil"/>
              <w:tr2bl w:val="nil"/>
            </w:tcBorders>
            <w:shd w:val="clear" w:color="auto" w:fill="auto"/>
            <w:tcMar>
              <w:top w:w="60" w:type="dxa"/>
              <w:left w:w="120" w:type="dxa"/>
              <w:bottom w:w="30" w:type="dxa"/>
              <w:right w:w="120" w:type="dxa"/>
            </w:tcMar>
            <w:vAlign w:val="top"/>
          </w:tcPr>
          <w:p>
            <w:pPr>
              <w:keepNext w:val="0"/>
              <w:keepLines w:val="0"/>
              <w:widowControl/>
              <w:suppressLineNumbers w:val="0"/>
              <w:jc w:val="left"/>
              <w:textAlignment w:val="center"/>
              <w:rPr>
                <w:rFonts w:hint="eastAsia" w:ascii="Arial" w:hAnsi="Arial" w:eastAsia="等线" w:cs="Arial"/>
                <w:sz w:val="22"/>
                <w:szCs w:val="22"/>
                <w:lang w:val="en-US" w:eastAsia="zh-CN"/>
              </w:rPr>
            </w:pPr>
            <w:r>
              <w:rPr>
                <w:rFonts w:hint="eastAsia" w:ascii="Arial" w:hAnsi="Arial" w:eastAsia="等线" w:cs="Arial"/>
                <w:sz w:val="22"/>
                <w:szCs w:val="22"/>
                <w:lang w:val="en-US" w:eastAsia="zh-CN"/>
              </w:rPr>
              <w:t>18,569</w:t>
            </w:r>
          </w:p>
        </w:tc>
        <w:tc>
          <w:tcPr>
            <w:tcW w:w="1688" w:type="pct"/>
            <w:tcBorders>
              <w:tl2br w:val="nil"/>
              <w:tr2bl w:val="nil"/>
            </w:tcBorders>
            <w:shd w:val="clear" w:color="auto" w:fill="auto"/>
            <w:tcMar>
              <w:top w:w="60" w:type="dxa"/>
              <w:left w:w="120" w:type="dxa"/>
              <w:bottom w:w="30" w:type="dxa"/>
              <w:right w:w="120" w:type="dxa"/>
            </w:tcMar>
            <w:vAlign w:val="top"/>
          </w:tcPr>
          <w:p>
            <w:pPr>
              <w:keepNext w:val="0"/>
              <w:keepLines w:val="0"/>
              <w:widowControl/>
              <w:suppressLineNumbers w:val="0"/>
              <w:jc w:val="left"/>
              <w:textAlignment w:val="center"/>
              <w:rPr>
                <w:rFonts w:hint="eastAsia" w:ascii="Arial" w:hAnsi="Arial" w:eastAsia="等线" w:cs="Arial"/>
                <w:sz w:val="22"/>
                <w:szCs w:val="22"/>
                <w:lang w:val="en-US" w:eastAsia="zh-CN"/>
              </w:rPr>
            </w:pPr>
            <w:r>
              <w:rPr>
                <w:rFonts w:hint="eastAsia" w:ascii="Arial" w:hAnsi="Arial" w:eastAsia="等线" w:cs="Arial"/>
                <w:sz w:val="22"/>
                <w:szCs w:val="22"/>
                <w:lang w:val="en-US" w:eastAsia="zh-CN"/>
              </w:rPr>
              <w:t>生态工程相关</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c>
          <w:tcPr>
            <w:tcW w:w="2320" w:type="pct"/>
            <w:tcBorders>
              <w:tl2br w:val="nil"/>
              <w:tr2bl w:val="nil"/>
            </w:tcBorders>
            <w:shd w:val="clear" w:color="auto" w:fill="auto"/>
            <w:tcMar>
              <w:top w:w="60" w:type="dxa"/>
              <w:left w:w="120" w:type="dxa"/>
              <w:bottom w:w="30" w:type="dxa"/>
              <w:right w:w="120" w:type="dxa"/>
            </w:tcMar>
            <w:vAlign w:val="top"/>
          </w:tcPr>
          <w:p>
            <w:pPr>
              <w:keepNext w:val="0"/>
              <w:keepLines w:val="0"/>
              <w:widowControl/>
              <w:suppressLineNumbers w:val="0"/>
              <w:jc w:val="left"/>
              <w:textAlignment w:val="center"/>
              <w:rPr>
                <w:rFonts w:hint="eastAsia" w:ascii="Arial" w:hAnsi="Arial" w:eastAsia="等线" w:cs="Arial"/>
                <w:sz w:val="22"/>
                <w:szCs w:val="22"/>
                <w:lang w:val="en-US" w:eastAsia="zh-CN"/>
              </w:rPr>
            </w:pPr>
            <w:r>
              <w:rPr>
                <w:rFonts w:hint="eastAsia" w:ascii="Arial" w:hAnsi="Arial" w:eastAsia="等线" w:cs="Arial"/>
                <w:sz w:val="22"/>
                <w:szCs w:val="22"/>
                <w:lang w:val="en-US" w:eastAsia="zh-CN"/>
              </w:rPr>
              <w:t>群众创收金额（万元）</w:t>
            </w:r>
          </w:p>
        </w:tc>
        <w:tc>
          <w:tcPr>
            <w:tcW w:w="991" w:type="pct"/>
            <w:tcBorders>
              <w:tl2br w:val="nil"/>
              <w:tr2bl w:val="nil"/>
            </w:tcBorders>
            <w:shd w:val="clear" w:color="auto" w:fill="auto"/>
            <w:tcMar>
              <w:top w:w="60" w:type="dxa"/>
              <w:left w:w="120" w:type="dxa"/>
              <w:bottom w:w="30" w:type="dxa"/>
              <w:right w:w="120" w:type="dxa"/>
            </w:tcMar>
            <w:vAlign w:val="top"/>
          </w:tcPr>
          <w:p>
            <w:pPr>
              <w:keepNext w:val="0"/>
              <w:keepLines w:val="0"/>
              <w:widowControl/>
              <w:suppressLineNumbers w:val="0"/>
              <w:jc w:val="left"/>
              <w:textAlignment w:val="center"/>
              <w:rPr>
                <w:rFonts w:hint="eastAsia" w:ascii="Arial" w:hAnsi="Arial" w:eastAsia="等线" w:cs="Arial"/>
                <w:sz w:val="22"/>
                <w:szCs w:val="22"/>
                <w:lang w:val="en-US" w:eastAsia="zh-CN"/>
              </w:rPr>
            </w:pPr>
            <w:r>
              <w:rPr>
                <w:rFonts w:hint="eastAsia" w:ascii="Arial" w:hAnsi="Arial" w:eastAsia="等线" w:cs="Arial"/>
                <w:sz w:val="22"/>
                <w:szCs w:val="22"/>
                <w:lang w:val="en-US" w:eastAsia="zh-CN"/>
              </w:rPr>
              <w:t>973.25</w:t>
            </w:r>
          </w:p>
        </w:tc>
        <w:tc>
          <w:tcPr>
            <w:tcW w:w="1688" w:type="pct"/>
            <w:tcBorders>
              <w:tl2br w:val="nil"/>
              <w:tr2bl w:val="nil"/>
            </w:tcBorders>
            <w:shd w:val="clear" w:color="auto" w:fill="auto"/>
            <w:tcMar>
              <w:top w:w="60" w:type="dxa"/>
              <w:left w:w="120" w:type="dxa"/>
              <w:bottom w:w="30" w:type="dxa"/>
              <w:right w:w="120" w:type="dxa"/>
            </w:tcMar>
            <w:vAlign w:val="top"/>
          </w:tcPr>
          <w:p>
            <w:pPr>
              <w:keepNext w:val="0"/>
              <w:keepLines w:val="0"/>
              <w:widowControl/>
              <w:suppressLineNumbers w:val="0"/>
              <w:jc w:val="left"/>
              <w:textAlignment w:val="center"/>
              <w:rPr>
                <w:rFonts w:hint="eastAsia" w:ascii="Arial" w:hAnsi="Arial" w:eastAsia="等线" w:cs="Arial"/>
                <w:sz w:val="22"/>
                <w:szCs w:val="22"/>
                <w:lang w:val="en-US" w:eastAsia="zh-CN"/>
              </w:rPr>
            </w:pPr>
            <w:r>
              <w:rPr>
                <w:rFonts w:hint="eastAsia" w:ascii="Arial" w:hAnsi="Arial" w:eastAsia="等线" w:cs="Arial"/>
                <w:sz w:val="22"/>
                <w:szCs w:val="22"/>
                <w:lang w:val="en-US" w:eastAsia="zh-CN"/>
              </w:rPr>
              <w:t>生态工程相关</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c>
          <w:tcPr>
            <w:tcW w:w="2320" w:type="pct"/>
            <w:tcBorders>
              <w:tl2br w:val="nil"/>
              <w:tr2bl w:val="nil"/>
            </w:tcBorders>
            <w:shd w:val="clear" w:color="auto" w:fill="auto"/>
            <w:tcMar>
              <w:top w:w="60" w:type="dxa"/>
              <w:left w:w="120" w:type="dxa"/>
              <w:bottom w:w="30" w:type="dxa"/>
              <w:right w:w="120" w:type="dxa"/>
            </w:tcMar>
            <w:vAlign w:val="top"/>
          </w:tcPr>
          <w:p>
            <w:pPr>
              <w:keepNext w:val="0"/>
              <w:keepLines w:val="0"/>
              <w:widowControl/>
              <w:suppressLineNumbers w:val="0"/>
              <w:jc w:val="left"/>
              <w:textAlignment w:val="center"/>
              <w:rPr>
                <w:rFonts w:hint="eastAsia" w:ascii="Arial" w:hAnsi="Arial" w:eastAsia="等线" w:cs="Arial"/>
                <w:sz w:val="22"/>
                <w:szCs w:val="22"/>
                <w:lang w:val="en-US" w:eastAsia="zh-CN"/>
              </w:rPr>
            </w:pPr>
            <w:r>
              <w:rPr>
                <w:rFonts w:hint="eastAsia" w:ascii="Arial" w:hAnsi="Arial" w:eastAsia="等线" w:cs="Arial"/>
                <w:sz w:val="22"/>
                <w:szCs w:val="22"/>
                <w:lang w:val="en-US" w:eastAsia="zh-CN"/>
              </w:rPr>
              <w:t>苗木种植面积（亩）</w:t>
            </w:r>
          </w:p>
        </w:tc>
        <w:tc>
          <w:tcPr>
            <w:tcW w:w="991" w:type="pct"/>
            <w:tcBorders>
              <w:tl2br w:val="nil"/>
              <w:tr2bl w:val="nil"/>
            </w:tcBorders>
            <w:shd w:val="clear" w:color="auto" w:fill="auto"/>
            <w:tcMar>
              <w:top w:w="60" w:type="dxa"/>
              <w:left w:w="120" w:type="dxa"/>
              <w:bottom w:w="30" w:type="dxa"/>
              <w:right w:w="120" w:type="dxa"/>
            </w:tcMar>
            <w:vAlign w:val="top"/>
          </w:tcPr>
          <w:p>
            <w:pPr>
              <w:keepNext w:val="0"/>
              <w:keepLines w:val="0"/>
              <w:widowControl/>
              <w:suppressLineNumbers w:val="0"/>
              <w:jc w:val="left"/>
              <w:textAlignment w:val="center"/>
              <w:rPr>
                <w:rFonts w:hint="eastAsia" w:ascii="Arial" w:hAnsi="Arial" w:eastAsia="等线" w:cs="Arial"/>
                <w:sz w:val="22"/>
                <w:szCs w:val="22"/>
                <w:lang w:val="en-US" w:eastAsia="zh-CN"/>
              </w:rPr>
            </w:pPr>
            <w:r>
              <w:rPr>
                <w:rFonts w:hint="eastAsia" w:ascii="Arial" w:hAnsi="Arial" w:eastAsia="等线" w:cs="Arial"/>
                <w:sz w:val="22"/>
                <w:szCs w:val="22"/>
                <w:lang w:val="en-US" w:eastAsia="zh-CN"/>
              </w:rPr>
              <w:t>3,531.4</w:t>
            </w:r>
          </w:p>
        </w:tc>
        <w:tc>
          <w:tcPr>
            <w:tcW w:w="1688" w:type="pct"/>
            <w:tcBorders>
              <w:tl2br w:val="nil"/>
              <w:tr2bl w:val="nil"/>
            </w:tcBorders>
            <w:shd w:val="clear" w:color="auto" w:fill="auto"/>
            <w:tcMar>
              <w:top w:w="60" w:type="dxa"/>
              <w:left w:w="120" w:type="dxa"/>
              <w:bottom w:w="30" w:type="dxa"/>
              <w:right w:w="120" w:type="dxa"/>
            </w:tcMar>
            <w:vAlign w:val="top"/>
          </w:tcPr>
          <w:p>
            <w:pPr>
              <w:keepNext w:val="0"/>
              <w:keepLines w:val="0"/>
              <w:widowControl/>
              <w:suppressLineNumbers w:val="0"/>
              <w:jc w:val="left"/>
              <w:textAlignment w:val="center"/>
              <w:rPr>
                <w:rFonts w:hint="eastAsia" w:ascii="Arial" w:hAnsi="Arial" w:eastAsia="等线" w:cs="Arial"/>
                <w:sz w:val="22"/>
                <w:szCs w:val="22"/>
                <w:lang w:val="en-US" w:eastAsia="zh-CN"/>
              </w:rPr>
            </w:pPr>
            <w:r>
              <w:rPr>
                <w:rFonts w:hint="eastAsia" w:ascii="Arial" w:hAnsi="Arial" w:eastAsia="等线" w:cs="Arial"/>
                <w:sz w:val="22"/>
                <w:szCs w:val="22"/>
                <w:lang w:val="en-US" w:eastAsia="zh-CN"/>
              </w:rPr>
              <w:t>生态工程相关</w:t>
            </w: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c>
          <w:tcPr>
            <w:tcW w:w="2320" w:type="pct"/>
            <w:tcBorders>
              <w:tl2br w:val="nil"/>
              <w:tr2bl w:val="nil"/>
            </w:tcBorders>
            <w:shd w:val="clear" w:color="auto" w:fill="auto"/>
            <w:tcMar>
              <w:top w:w="60" w:type="dxa"/>
              <w:left w:w="120" w:type="dxa"/>
              <w:bottom w:w="30" w:type="dxa"/>
              <w:right w:w="120" w:type="dxa"/>
            </w:tcMar>
            <w:vAlign w:val="top"/>
          </w:tcPr>
          <w:p>
            <w:pPr>
              <w:keepNext w:val="0"/>
              <w:keepLines w:val="0"/>
              <w:widowControl/>
              <w:suppressLineNumbers w:val="0"/>
              <w:jc w:val="left"/>
              <w:textAlignment w:val="center"/>
              <w:rPr>
                <w:rFonts w:hint="eastAsia" w:ascii="Arial" w:hAnsi="Arial" w:eastAsia="等线" w:cs="Arial"/>
                <w:sz w:val="22"/>
                <w:szCs w:val="22"/>
                <w:lang w:val="en-US" w:eastAsia="zh-CN"/>
              </w:rPr>
            </w:pPr>
            <w:r>
              <w:rPr>
                <w:rFonts w:hint="eastAsia" w:ascii="Arial" w:hAnsi="Arial" w:eastAsia="等线" w:cs="Arial"/>
                <w:sz w:val="22"/>
                <w:szCs w:val="22"/>
                <w:lang w:val="en-US" w:eastAsia="zh-CN"/>
              </w:rPr>
              <w:t>苗木成活率（%）</w:t>
            </w:r>
          </w:p>
        </w:tc>
        <w:tc>
          <w:tcPr>
            <w:tcW w:w="991" w:type="pct"/>
            <w:tcBorders>
              <w:tl2br w:val="nil"/>
              <w:tr2bl w:val="nil"/>
            </w:tcBorders>
            <w:shd w:val="clear" w:color="auto" w:fill="auto"/>
            <w:tcMar>
              <w:top w:w="60" w:type="dxa"/>
              <w:left w:w="120" w:type="dxa"/>
              <w:bottom w:w="30" w:type="dxa"/>
              <w:right w:w="120" w:type="dxa"/>
            </w:tcMar>
            <w:vAlign w:val="top"/>
          </w:tcPr>
          <w:p>
            <w:pPr>
              <w:keepNext w:val="0"/>
              <w:keepLines w:val="0"/>
              <w:widowControl/>
              <w:suppressLineNumbers w:val="0"/>
              <w:jc w:val="left"/>
              <w:textAlignment w:val="center"/>
              <w:rPr>
                <w:rFonts w:hint="eastAsia" w:ascii="Arial" w:hAnsi="Arial" w:eastAsia="等线" w:cs="Arial"/>
                <w:sz w:val="22"/>
                <w:szCs w:val="22"/>
                <w:lang w:val="en-US" w:eastAsia="zh-CN"/>
              </w:rPr>
            </w:pPr>
            <w:r>
              <w:rPr>
                <w:rFonts w:hint="eastAsia" w:ascii="Arial" w:hAnsi="Arial" w:eastAsia="等线" w:cs="Arial"/>
                <w:sz w:val="22"/>
                <w:szCs w:val="22"/>
                <w:lang w:val="en-US" w:eastAsia="zh-CN"/>
              </w:rPr>
              <w:t>95.73</w:t>
            </w:r>
          </w:p>
        </w:tc>
        <w:tc>
          <w:tcPr>
            <w:tcW w:w="1688" w:type="pct"/>
            <w:tcBorders>
              <w:tl2br w:val="nil"/>
              <w:tr2bl w:val="nil"/>
            </w:tcBorders>
            <w:shd w:val="clear" w:color="auto" w:fill="auto"/>
            <w:tcMar>
              <w:top w:w="60" w:type="dxa"/>
              <w:left w:w="120" w:type="dxa"/>
              <w:bottom w:w="30" w:type="dxa"/>
              <w:right w:w="120" w:type="dxa"/>
            </w:tcMar>
            <w:vAlign w:val="top"/>
          </w:tcPr>
          <w:p>
            <w:pPr>
              <w:keepNext w:val="0"/>
              <w:keepLines w:val="0"/>
              <w:widowControl/>
              <w:suppressLineNumbers w:val="0"/>
              <w:jc w:val="left"/>
              <w:textAlignment w:val="center"/>
              <w:rPr>
                <w:rFonts w:hint="eastAsia" w:ascii="Arial" w:hAnsi="Arial" w:eastAsia="等线" w:cs="Arial"/>
                <w:sz w:val="22"/>
                <w:szCs w:val="22"/>
                <w:lang w:val="en-US" w:eastAsia="zh-CN"/>
              </w:rPr>
            </w:pPr>
            <w:r>
              <w:rPr>
                <w:rFonts w:hint="eastAsia" w:ascii="Arial" w:hAnsi="Arial" w:eastAsia="等线" w:cs="Arial"/>
                <w:sz w:val="22"/>
                <w:szCs w:val="22"/>
                <w:lang w:val="en-US" w:eastAsia="zh-CN"/>
              </w:rPr>
              <w:t>远超85%既定要求</w:t>
            </w:r>
          </w:p>
        </w:tc>
      </w:tr>
    </w:tbl>
    <w:p>
      <w:pPr>
        <w:pStyle w:val="22"/>
      </w:pPr>
      <w:r>
        <w:t>注：部分指标因数据可得性暂未完全量化，后续将持续完善核算体系。</w:t>
      </w:r>
    </w:p>
    <w:p>
      <w:pPr>
        <w:pStyle w:val="22"/>
        <w:ind w:firstLine="640" w:firstLineChars="200"/>
        <w:rPr>
          <w:rFonts w:hint="eastAsia" w:ascii="楷体" w:hAnsi="楷体" w:eastAsia="楷体" w:cs="楷体"/>
          <w:b w:val="0"/>
          <w:bCs w:val="0"/>
          <w:kern w:val="2"/>
          <w:sz w:val="32"/>
          <w:szCs w:val="32"/>
          <w:lang w:val="en-US" w:eastAsia="zh-CN" w:bidi="ar-SA"/>
        </w:rPr>
      </w:pPr>
      <w:r>
        <w:rPr>
          <w:rFonts w:hint="eastAsia" w:ascii="楷体" w:hAnsi="楷体" w:eastAsia="楷体" w:cs="楷体"/>
          <w:b w:val="0"/>
          <w:bCs w:val="0"/>
          <w:kern w:val="2"/>
          <w:sz w:val="32"/>
          <w:szCs w:val="32"/>
          <w:lang w:val="en-US" w:eastAsia="zh-CN" w:bidi="ar-SA"/>
        </w:rPr>
        <w:t>7.4 典型案例</w:t>
      </w:r>
    </w:p>
    <w:p>
      <w:pPr>
        <w:pStyle w:val="6"/>
        <w:keepNext w:val="0"/>
        <w:keepLines w:val="0"/>
        <w:pageBreakBefore w:val="0"/>
        <w:widowControl/>
        <w:kinsoku/>
        <w:wordWrap/>
        <w:overflowPunct/>
        <w:topLinePunct w:val="0"/>
        <w:autoSpaceDE/>
        <w:autoSpaceDN/>
        <w:bidi w:val="0"/>
        <w:adjustRightInd/>
        <w:snapToGrid/>
        <w:spacing w:line="576" w:lineRule="exact"/>
        <w:ind w:firstLine="643" w:firstLineChars="200"/>
        <w:textAlignment w:val="auto"/>
        <w:rPr>
          <w:rFonts w:hint="default" w:ascii="仿宋" w:hAnsi="仿宋" w:eastAsia="仿宋" w:cs="仿宋"/>
          <w:b/>
          <w:bCs/>
          <w:kern w:val="2"/>
          <w:sz w:val="32"/>
          <w:szCs w:val="32"/>
          <w:lang w:val="en-US" w:eastAsia="zh-CN" w:bidi="ar-SA"/>
        </w:rPr>
      </w:pPr>
      <w:r>
        <w:rPr>
          <w:rFonts w:hint="default" w:ascii="仿宋" w:hAnsi="仿宋" w:eastAsia="仿宋" w:cs="仿宋"/>
          <w:b/>
          <w:bCs/>
          <w:kern w:val="2"/>
          <w:sz w:val="32"/>
          <w:szCs w:val="32"/>
          <w:lang w:val="en-US" w:eastAsia="zh-CN" w:bidi="ar-SA"/>
        </w:rPr>
        <w:t>案例1：拉萨南北山绿化工程信贷支持</w:t>
      </w:r>
    </w:p>
    <w:p>
      <w:pPr>
        <w:pStyle w:val="22"/>
        <w:keepNext w:val="0"/>
        <w:keepLines w:val="0"/>
        <w:pageBreakBefore w:val="0"/>
        <w:widowControl/>
        <w:kinsoku/>
        <w:wordWrap/>
        <w:overflowPunct/>
        <w:topLinePunct w:val="0"/>
        <w:autoSpaceDE/>
        <w:autoSpaceDN/>
        <w:bidi w:val="0"/>
        <w:adjustRightInd/>
        <w:snapToGrid/>
        <w:spacing w:line="576" w:lineRule="exact"/>
        <w:ind w:firstLine="640" w:firstLineChars="200"/>
        <w:textAlignment w:val="auto"/>
        <w:rPr>
          <w:rFonts w:hint="default" w:ascii="仿宋" w:hAnsi="仿宋" w:eastAsia="仿宋" w:cs="仿宋"/>
          <w:b w:val="0"/>
          <w:bCs w:val="0"/>
          <w:kern w:val="2"/>
          <w:sz w:val="32"/>
          <w:szCs w:val="32"/>
          <w:lang w:val="en-US" w:eastAsia="zh-CN" w:bidi="ar-SA"/>
        </w:rPr>
      </w:pPr>
      <w:r>
        <w:rPr>
          <w:rFonts w:hint="default" w:ascii="仿宋" w:hAnsi="仿宋" w:eastAsia="仿宋" w:cs="仿宋"/>
          <w:b w:val="0"/>
          <w:bCs w:val="0"/>
          <w:kern w:val="2"/>
          <w:sz w:val="32"/>
          <w:szCs w:val="32"/>
          <w:lang w:val="en-US" w:eastAsia="zh-CN" w:bidi="ar-SA"/>
        </w:rPr>
        <w:t>通过“青山贷”产品为参与拉萨南北山绿化工程的农牧民施工企业及集体经济组织提供信贷支持，累计投放贷款10.06亿元，资金用于种苗采购、人工劳务等环节。</w:t>
      </w:r>
    </w:p>
    <w:p>
      <w:pPr>
        <w:pStyle w:val="6"/>
        <w:keepNext w:val="0"/>
        <w:keepLines w:val="0"/>
        <w:pageBreakBefore w:val="0"/>
        <w:widowControl/>
        <w:kinsoku/>
        <w:wordWrap/>
        <w:overflowPunct/>
        <w:topLinePunct w:val="0"/>
        <w:autoSpaceDE/>
        <w:autoSpaceDN/>
        <w:bidi w:val="0"/>
        <w:adjustRightInd/>
        <w:snapToGrid/>
        <w:spacing w:line="576" w:lineRule="exact"/>
        <w:ind w:firstLine="643" w:firstLineChars="200"/>
        <w:textAlignment w:val="auto"/>
        <w:rPr>
          <w:rFonts w:hint="default" w:ascii="仿宋" w:hAnsi="仿宋" w:eastAsia="仿宋" w:cs="仿宋"/>
          <w:b/>
          <w:bCs/>
          <w:kern w:val="2"/>
          <w:sz w:val="32"/>
          <w:szCs w:val="32"/>
          <w:lang w:val="en-US" w:eastAsia="zh-CN" w:bidi="ar-SA"/>
        </w:rPr>
      </w:pPr>
      <w:r>
        <w:rPr>
          <w:rFonts w:hint="default" w:ascii="仿宋" w:hAnsi="仿宋" w:eastAsia="仿宋" w:cs="仿宋"/>
          <w:b/>
          <w:bCs/>
          <w:kern w:val="2"/>
          <w:sz w:val="32"/>
          <w:szCs w:val="32"/>
          <w:lang w:val="en-US" w:eastAsia="zh-CN" w:bidi="ar-SA"/>
        </w:rPr>
        <w:t>案例2：碳减排支持工具业务落地</w:t>
      </w:r>
    </w:p>
    <w:p>
      <w:pPr>
        <w:pStyle w:val="22"/>
        <w:keepNext w:val="0"/>
        <w:keepLines w:val="0"/>
        <w:pageBreakBefore w:val="0"/>
        <w:widowControl/>
        <w:kinsoku/>
        <w:wordWrap/>
        <w:overflowPunct/>
        <w:topLinePunct w:val="0"/>
        <w:autoSpaceDE/>
        <w:autoSpaceDN/>
        <w:bidi w:val="0"/>
        <w:adjustRightInd/>
        <w:snapToGrid/>
        <w:spacing w:line="576" w:lineRule="exact"/>
        <w:ind w:firstLine="640" w:firstLineChars="200"/>
        <w:textAlignment w:val="auto"/>
        <w:rPr>
          <w:rFonts w:hint="default" w:ascii="仿宋" w:hAnsi="仿宋" w:eastAsia="仿宋" w:cs="仿宋"/>
          <w:b w:val="0"/>
          <w:bCs w:val="0"/>
          <w:kern w:val="2"/>
          <w:sz w:val="32"/>
          <w:szCs w:val="32"/>
          <w:lang w:val="en-US" w:eastAsia="zh-CN" w:bidi="ar-SA"/>
        </w:rPr>
      </w:pPr>
      <w:r>
        <w:rPr>
          <w:rFonts w:hint="default" w:ascii="仿宋" w:hAnsi="仿宋" w:eastAsia="仿宋" w:cs="仿宋"/>
          <w:b w:val="0"/>
          <w:bCs w:val="0"/>
          <w:kern w:val="2"/>
          <w:sz w:val="32"/>
          <w:szCs w:val="32"/>
          <w:lang w:val="en-US" w:eastAsia="zh-CN" w:bidi="ar-SA"/>
        </w:rPr>
        <w:t>2025年向那曲比如县50MW光伏储能项目、昌都市芒康昂多1800MW光伏发电项目发放碳减排支持工具贷款1.05亿元，年度碳减排量达22,897.36吨二氧化碳当量，相关信息已通过官方网站公开披露。</w:t>
      </w:r>
    </w:p>
    <w:p>
      <w:pPr>
        <w:pStyle w:val="6"/>
        <w:keepNext w:val="0"/>
        <w:keepLines w:val="0"/>
        <w:pageBreakBefore w:val="0"/>
        <w:widowControl/>
        <w:kinsoku/>
        <w:wordWrap/>
        <w:overflowPunct/>
        <w:topLinePunct w:val="0"/>
        <w:autoSpaceDE/>
        <w:autoSpaceDN/>
        <w:bidi w:val="0"/>
        <w:adjustRightInd/>
        <w:snapToGrid/>
        <w:spacing w:line="576" w:lineRule="exact"/>
        <w:ind w:firstLine="643" w:firstLineChars="200"/>
        <w:textAlignment w:val="auto"/>
        <w:rPr>
          <w:rFonts w:hint="default" w:ascii="仿宋" w:hAnsi="仿宋" w:eastAsia="仿宋" w:cs="仿宋"/>
          <w:b/>
          <w:bCs/>
          <w:kern w:val="2"/>
          <w:sz w:val="32"/>
          <w:szCs w:val="32"/>
          <w:lang w:val="en-US" w:eastAsia="zh-CN" w:bidi="ar-SA"/>
        </w:rPr>
      </w:pPr>
      <w:r>
        <w:rPr>
          <w:rFonts w:hint="default" w:ascii="仿宋" w:hAnsi="仿宋" w:eastAsia="仿宋" w:cs="仿宋"/>
          <w:b/>
          <w:bCs/>
          <w:kern w:val="2"/>
          <w:sz w:val="32"/>
          <w:szCs w:val="32"/>
          <w:lang w:val="en-US" w:eastAsia="zh-CN" w:bidi="ar-SA"/>
        </w:rPr>
        <w:t>案例3：绿色债券投资合作</w:t>
      </w:r>
    </w:p>
    <w:p>
      <w:pPr>
        <w:pStyle w:val="22"/>
        <w:keepNext w:val="0"/>
        <w:keepLines w:val="0"/>
        <w:pageBreakBefore w:val="0"/>
        <w:widowControl/>
        <w:kinsoku/>
        <w:wordWrap/>
        <w:overflowPunct/>
        <w:topLinePunct w:val="0"/>
        <w:autoSpaceDE/>
        <w:autoSpaceDN/>
        <w:bidi w:val="0"/>
        <w:adjustRightInd/>
        <w:snapToGrid/>
        <w:spacing w:line="576" w:lineRule="exact"/>
        <w:ind w:firstLine="640" w:firstLineChars="200"/>
        <w:textAlignment w:val="auto"/>
        <w:rPr>
          <w:rFonts w:hint="default" w:ascii="仿宋" w:hAnsi="仿宋" w:eastAsia="仿宋" w:cs="仿宋"/>
          <w:b w:val="0"/>
          <w:bCs w:val="0"/>
          <w:kern w:val="2"/>
          <w:sz w:val="32"/>
          <w:szCs w:val="32"/>
          <w:lang w:val="en-US" w:eastAsia="zh-CN" w:bidi="ar-SA"/>
        </w:rPr>
      </w:pPr>
      <w:r>
        <w:rPr>
          <w:rFonts w:hint="default" w:ascii="仿宋" w:hAnsi="仿宋" w:eastAsia="仿宋" w:cs="仿宋"/>
          <w:b w:val="0"/>
          <w:bCs w:val="0"/>
          <w:kern w:val="2"/>
          <w:sz w:val="32"/>
          <w:szCs w:val="32"/>
          <w:lang w:val="en-US" w:eastAsia="zh-CN" w:bidi="ar-SA"/>
        </w:rPr>
        <w:t>2025年12月完成首笔绿色债券投资“23国家绿01”</w:t>
      </w:r>
    </w:p>
    <w:p>
      <w:pPr>
        <w:pStyle w:val="22"/>
        <w:keepNext w:val="0"/>
        <w:keepLines w:val="0"/>
        <w:pageBreakBefore w:val="0"/>
        <w:widowControl/>
        <w:kinsoku/>
        <w:wordWrap/>
        <w:overflowPunct/>
        <w:topLinePunct w:val="0"/>
        <w:autoSpaceDE/>
        <w:autoSpaceDN/>
        <w:bidi w:val="0"/>
        <w:adjustRightInd/>
        <w:snapToGrid/>
        <w:spacing w:line="576" w:lineRule="exact"/>
        <w:textAlignment w:val="auto"/>
      </w:pPr>
      <w:r>
        <w:rPr>
          <w:rFonts w:hint="default" w:ascii="仿宋" w:hAnsi="仿宋" w:eastAsia="仿宋" w:cs="仿宋"/>
          <w:b w:val="0"/>
          <w:bCs w:val="0"/>
          <w:kern w:val="2"/>
          <w:sz w:val="32"/>
          <w:szCs w:val="32"/>
          <w:lang w:val="en-US" w:eastAsia="zh-CN" w:bidi="ar-SA"/>
        </w:rPr>
        <w:t>1000万元，通过跨区域合作拓宽绿色金融服务边界。</w:t>
      </w:r>
    </w:p>
    <w:p>
      <w:pPr>
        <w:pStyle w:val="4"/>
        <w:keepNext w:val="0"/>
        <w:keepLines w:val="0"/>
        <w:pageBreakBefore w:val="0"/>
        <w:widowControl/>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b w:val="0"/>
          <w:bCs w:val="0"/>
          <w:kern w:val="2"/>
          <w:sz w:val="32"/>
          <w:szCs w:val="32"/>
          <w:lang w:val="en-US" w:eastAsia="zh-CN" w:bidi="ar-SA"/>
        </w:rPr>
      </w:pPr>
      <w:r>
        <w:rPr>
          <w:rFonts w:hint="eastAsia" w:ascii="黑体" w:hAnsi="黑体" w:eastAsia="黑体" w:cs="黑体"/>
          <w:b w:val="0"/>
          <w:bCs w:val="0"/>
          <w:kern w:val="2"/>
          <w:sz w:val="32"/>
          <w:szCs w:val="32"/>
          <w:lang w:val="en-US" w:eastAsia="zh-CN" w:bidi="ar-SA"/>
        </w:rPr>
        <w:t>八、自身运营可持续相关信息</w:t>
      </w:r>
    </w:p>
    <w:p>
      <w:pPr>
        <w:pStyle w:val="5"/>
        <w:keepNext w:val="0"/>
        <w:keepLines w:val="0"/>
        <w:pageBreakBefore w:val="0"/>
        <w:widowControl/>
        <w:kinsoku/>
        <w:wordWrap/>
        <w:overflowPunct/>
        <w:topLinePunct w:val="0"/>
        <w:autoSpaceDE/>
        <w:autoSpaceDN/>
        <w:bidi w:val="0"/>
        <w:adjustRightInd/>
        <w:snapToGrid/>
        <w:spacing w:line="576" w:lineRule="exact"/>
        <w:ind w:firstLine="640" w:firstLineChars="200"/>
        <w:textAlignment w:val="auto"/>
        <w:rPr>
          <w:rFonts w:hint="eastAsia" w:ascii="楷体" w:hAnsi="楷体" w:eastAsia="楷体" w:cs="楷体"/>
          <w:b w:val="0"/>
          <w:bCs w:val="0"/>
          <w:kern w:val="2"/>
          <w:sz w:val="32"/>
          <w:szCs w:val="32"/>
          <w:lang w:val="en-US" w:eastAsia="zh-CN" w:bidi="ar-SA"/>
        </w:rPr>
      </w:pPr>
      <w:r>
        <w:rPr>
          <w:rFonts w:hint="eastAsia" w:ascii="楷体" w:hAnsi="楷体" w:eastAsia="楷体" w:cs="楷体"/>
          <w:b w:val="0"/>
          <w:bCs w:val="0"/>
          <w:kern w:val="2"/>
          <w:sz w:val="32"/>
          <w:szCs w:val="32"/>
          <w:lang w:val="en-US" w:eastAsia="zh-CN" w:bidi="ar-SA"/>
        </w:rPr>
        <w:t>8.1资源消耗信息</w:t>
      </w:r>
    </w:p>
    <w:tbl>
      <w:tblPr>
        <w:tblStyle w:val="16"/>
        <w:tblW w:w="7666"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4066"/>
        <w:gridCol w:w="1905"/>
        <w:gridCol w:w="169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78" w:hRule="atLeast"/>
        </w:trPr>
        <w:tc>
          <w:tcPr>
            <w:tcW w:w="4066" w:type="dxa"/>
            <w:vAlign w:val="top"/>
          </w:tcPr>
          <w:p>
            <w:pPr>
              <w:keepNext w:val="0"/>
              <w:keepLines w:val="0"/>
              <w:widowControl/>
              <w:suppressLineNumbers w:val="0"/>
              <w:jc w:val="left"/>
              <w:textAlignment w:val="center"/>
              <w:rPr>
                <w:rFonts w:hint="eastAsia" w:ascii="Arial" w:hAnsi="Arial" w:eastAsia="等线" w:cs="Arial"/>
                <w:sz w:val="22"/>
                <w:szCs w:val="22"/>
                <w:lang w:val="en-US" w:eastAsia="zh-CN"/>
              </w:rPr>
            </w:pPr>
            <w:r>
              <w:rPr>
                <w:rFonts w:hint="eastAsia" w:ascii="Arial" w:hAnsi="Arial" w:eastAsia="等线" w:cs="Arial"/>
                <w:sz w:val="22"/>
                <w:szCs w:val="22"/>
                <w:lang w:val="en-US" w:eastAsia="zh-CN"/>
              </w:rPr>
              <w:t>资源类型</w:t>
            </w:r>
          </w:p>
        </w:tc>
        <w:tc>
          <w:tcPr>
            <w:tcW w:w="1905" w:type="dxa"/>
            <w:vAlign w:val="top"/>
          </w:tcPr>
          <w:p>
            <w:pPr>
              <w:keepNext w:val="0"/>
              <w:keepLines w:val="0"/>
              <w:widowControl/>
              <w:suppressLineNumbers w:val="0"/>
              <w:jc w:val="left"/>
              <w:textAlignment w:val="center"/>
              <w:rPr>
                <w:rFonts w:hint="eastAsia" w:ascii="Arial" w:hAnsi="Arial" w:eastAsia="等线" w:cs="Arial"/>
                <w:sz w:val="22"/>
                <w:szCs w:val="22"/>
                <w:lang w:val="en-US" w:eastAsia="zh-CN"/>
              </w:rPr>
            </w:pPr>
            <w:r>
              <w:rPr>
                <w:rFonts w:hint="eastAsia" w:ascii="Arial" w:hAnsi="Arial" w:eastAsia="等线" w:cs="Arial"/>
                <w:sz w:val="22"/>
                <w:szCs w:val="22"/>
                <w:lang w:val="en-US" w:eastAsia="zh-CN"/>
              </w:rPr>
              <w:t>2025年</w:t>
            </w:r>
          </w:p>
        </w:tc>
        <w:tc>
          <w:tcPr>
            <w:tcW w:w="1695" w:type="dxa"/>
            <w:vAlign w:val="top"/>
          </w:tcPr>
          <w:p>
            <w:pPr>
              <w:keepNext w:val="0"/>
              <w:keepLines w:val="0"/>
              <w:widowControl/>
              <w:suppressLineNumbers w:val="0"/>
              <w:jc w:val="left"/>
              <w:textAlignment w:val="center"/>
              <w:rPr>
                <w:rFonts w:hint="eastAsia" w:ascii="Arial" w:hAnsi="Arial" w:eastAsia="等线" w:cs="Arial"/>
                <w:sz w:val="22"/>
                <w:szCs w:val="22"/>
                <w:lang w:val="en-US" w:eastAsia="zh-CN"/>
              </w:rPr>
            </w:pPr>
            <w:r>
              <w:rPr>
                <w:rFonts w:hint="eastAsia" w:ascii="Arial" w:hAnsi="Arial" w:eastAsia="等线" w:cs="Arial"/>
                <w:sz w:val="22"/>
                <w:szCs w:val="22"/>
                <w:lang w:val="en-US" w:eastAsia="zh-CN"/>
              </w:rPr>
              <w:t>2024年</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31" w:hRule="atLeast"/>
        </w:trPr>
        <w:tc>
          <w:tcPr>
            <w:tcW w:w="4066" w:type="dxa"/>
            <w:vAlign w:val="top"/>
          </w:tcPr>
          <w:p>
            <w:pPr>
              <w:keepNext w:val="0"/>
              <w:keepLines w:val="0"/>
              <w:widowControl/>
              <w:suppressLineNumbers w:val="0"/>
              <w:jc w:val="left"/>
              <w:textAlignment w:val="center"/>
              <w:rPr>
                <w:rFonts w:hint="eastAsia" w:ascii="Arial" w:hAnsi="Arial" w:eastAsia="等线" w:cs="Arial"/>
                <w:sz w:val="22"/>
                <w:szCs w:val="22"/>
                <w:lang w:val="en-US" w:eastAsia="zh-CN"/>
              </w:rPr>
            </w:pPr>
            <w:r>
              <w:rPr>
                <w:rFonts w:hint="eastAsia" w:ascii="Arial" w:hAnsi="Arial" w:eastAsia="等线" w:cs="Arial"/>
                <w:sz w:val="22"/>
                <w:szCs w:val="22"/>
                <w:lang w:val="en-US" w:eastAsia="zh-CN"/>
              </w:rPr>
              <w:t>营业、办公用电（万千瓦时）</w:t>
            </w:r>
          </w:p>
          <w:p>
            <w:pPr>
              <w:keepNext w:val="0"/>
              <w:keepLines w:val="0"/>
              <w:widowControl/>
              <w:suppressLineNumbers w:val="0"/>
              <w:jc w:val="left"/>
              <w:textAlignment w:val="center"/>
              <w:rPr>
                <w:rFonts w:hint="eastAsia" w:ascii="Arial" w:hAnsi="Arial" w:eastAsia="等线" w:cs="Arial"/>
                <w:sz w:val="22"/>
                <w:szCs w:val="22"/>
                <w:lang w:val="en-US" w:eastAsia="zh-CN"/>
              </w:rPr>
            </w:pPr>
          </w:p>
        </w:tc>
        <w:tc>
          <w:tcPr>
            <w:tcW w:w="1905" w:type="dxa"/>
            <w:vAlign w:val="top"/>
          </w:tcPr>
          <w:p>
            <w:pPr>
              <w:keepNext w:val="0"/>
              <w:keepLines w:val="0"/>
              <w:widowControl/>
              <w:suppressLineNumbers w:val="0"/>
              <w:jc w:val="left"/>
              <w:textAlignment w:val="center"/>
              <w:rPr>
                <w:rFonts w:hint="eastAsia" w:ascii="Arial" w:hAnsi="Arial" w:eastAsia="等线" w:cs="Arial"/>
                <w:sz w:val="22"/>
                <w:szCs w:val="22"/>
                <w:lang w:val="en-US" w:eastAsia="zh-CN"/>
              </w:rPr>
            </w:pPr>
            <w:r>
              <w:rPr>
                <w:rFonts w:hint="eastAsia" w:ascii="Arial" w:hAnsi="Arial" w:eastAsia="等线" w:cs="Arial"/>
                <w:sz w:val="22"/>
                <w:szCs w:val="22"/>
                <w:lang w:val="en-US" w:eastAsia="zh-CN"/>
              </w:rPr>
              <w:t>470.04</w:t>
            </w:r>
          </w:p>
        </w:tc>
        <w:tc>
          <w:tcPr>
            <w:tcW w:w="1695" w:type="dxa"/>
            <w:vAlign w:val="top"/>
          </w:tcPr>
          <w:p>
            <w:pPr>
              <w:keepNext w:val="0"/>
              <w:keepLines w:val="0"/>
              <w:widowControl/>
              <w:suppressLineNumbers w:val="0"/>
              <w:jc w:val="left"/>
              <w:textAlignment w:val="center"/>
              <w:rPr>
                <w:rFonts w:hint="eastAsia" w:ascii="Arial" w:hAnsi="Arial" w:eastAsia="等线" w:cs="Arial"/>
                <w:sz w:val="22"/>
                <w:szCs w:val="22"/>
                <w:lang w:val="en-US" w:eastAsia="zh-CN"/>
              </w:rPr>
            </w:pPr>
            <w:r>
              <w:rPr>
                <w:rFonts w:hint="eastAsia" w:ascii="Arial" w:hAnsi="Arial" w:eastAsia="等线" w:cs="Arial"/>
                <w:sz w:val="22"/>
                <w:szCs w:val="22"/>
                <w:lang w:val="en-US" w:eastAsia="zh-CN"/>
              </w:rPr>
              <w:t>527.26</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2" w:hRule="atLeast"/>
        </w:trPr>
        <w:tc>
          <w:tcPr>
            <w:tcW w:w="4066" w:type="dxa"/>
            <w:vAlign w:val="top"/>
          </w:tcPr>
          <w:p>
            <w:pPr>
              <w:keepNext w:val="0"/>
              <w:keepLines w:val="0"/>
              <w:widowControl/>
              <w:suppressLineNumbers w:val="0"/>
              <w:jc w:val="left"/>
              <w:textAlignment w:val="center"/>
              <w:rPr>
                <w:rFonts w:hint="eastAsia" w:ascii="Arial" w:hAnsi="Arial" w:eastAsia="等线" w:cs="Arial"/>
                <w:sz w:val="22"/>
                <w:szCs w:val="22"/>
                <w:lang w:val="en-US" w:eastAsia="zh-CN"/>
              </w:rPr>
            </w:pPr>
            <w:r>
              <w:rPr>
                <w:rFonts w:hint="eastAsia" w:ascii="Arial" w:hAnsi="Arial" w:eastAsia="等线" w:cs="Arial"/>
                <w:sz w:val="22"/>
                <w:szCs w:val="22"/>
                <w:lang w:val="en-US" w:eastAsia="zh-CN"/>
              </w:rPr>
              <w:t>营业、办公天然气消耗量（万立方米）</w:t>
            </w:r>
          </w:p>
          <w:p>
            <w:pPr>
              <w:keepNext w:val="0"/>
              <w:keepLines w:val="0"/>
              <w:widowControl/>
              <w:suppressLineNumbers w:val="0"/>
              <w:jc w:val="left"/>
              <w:textAlignment w:val="center"/>
              <w:rPr>
                <w:rFonts w:hint="eastAsia" w:ascii="Arial" w:hAnsi="Arial" w:eastAsia="等线" w:cs="Arial"/>
                <w:sz w:val="22"/>
                <w:szCs w:val="22"/>
                <w:lang w:val="en-US" w:eastAsia="zh-CN"/>
              </w:rPr>
            </w:pPr>
          </w:p>
        </w:tc>
        <w:tc>
          <w:tcPr>
            <w:tcW w:w="1905" w:type="dxa"/>
            <w:vAlign w:val="top"/>
          </w:tcPr>
          <w:p>
            <w:pPr>
              <w:keepNext w:val="0"/>
              <w:keepLines w:val="0"/>
              <w:widowControl/>
              <w:suppressLineNumbers w:val="0"/>
              <w:jc w:val="left"/>
              <w:textAlignment w:val="center"/>
              <w:rPr>
                <w:rFonts w:hint="eastAsia" w:ascii="Arial" w:hAnsi="Arial" w:eastAsia="等线" w:cs="Arial"/>
                <w:sz w:val="22"/>
                <w:szCs w:val="22"/>
                <w:lang w:val="en-US" w:eastAsia="zh-CN"/>
              </w:rPr>
            </w:pPr>
            <w:r>
              <w:rPr>
                <w:rFonts w:hint="eastAsia" w:ascii="Arial" w:hAnsi="Arial" w:eastAsia="等线" w:cs="Arial"/>
                <w:sz w:val="22"/>
                <w:szCs w:val="22"/>
                <w:lang w:val="en-US" w:eastAsia="zh-CN"/>
              </w:rPr>
              <w:t>0.72</w:t>
            </w:r>
          </w:p>
        </w:tc>
        <w:tc>
          <w:tcPr>
            <w:tcW w:w="1695" w:type="dxa"/>
            <w:vAlign w:val="top"/>
          </w:tcPr>
          <w:p>
            <w:pPr>
              <w:keepNext w:val="0"/>
              <w:keepLines w:val="0"/>
              <w:widowControl/>
              <w:suppressLineNumbers w:val="0"/>
              <w:jc w:val="left"/>
              <w:textAlignment w:val="center"/>
              <w:rPr>
                <w:rFonts w:hint="eastAsia" w:ascii="Arial" w:hAnsi="Arial" w:eastAsia="等线" w:cs="Arial"/>
                <w:sz w:val="22"/>
                <w:szCs w:val="22"/>
                <w:lang w:val="en-US" w:eastAsia="zh-CN"/>
              </w:rPr>
            </w:pPr>
            <w:r>
              <w:rPr>
                <w:rFonts w:hint="eastAsia" w:ascii="Arial" w:hAnsi="Arial" w:eastAsia="等线" w:cs="Arial"/>
                <w:sz w:val="22"/>
                <w:szCs w:val="22"/>
                <w:lang w:val="en-US" w:eastAsia="zh-CN"/>
              </w:rPr>
              <w:t>2.45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2" w:hRule="atLeast"/>
        </w:trPr>
        <w:tc>
          <w:tcPr>
            <w:tcW w:w="4066" w:type="dxa"/>
            <w:vAlign w:val="top"/>
          </w:tcPr>
          <w:p>
            <w:pPr>
              <w:keepNext w:val="0"/>
              <w:keepLines w:val="0"/>
              <w:widowControl/>
              <w:suppressLineNumbers w:val="0"/>
              <w:jc w:val="left"/>
              <w:textAlignment w:val="center"/>
              <w:rPr>
                <w:rFonts w:hint="eastAsia" w:ascii="Arial" w:hAnsi="Arial" w:eastAsia="等线" w:cs="Arial"/>
                <w:sz w:val="22"/>
                <w:szCs w:val="22"/>
                <w:lang w:val="en-US" w:eastAsia="zh-CN"/>
              </w:rPr>
            </w:pPr>
            <w:r>
              <w:rPr>
                <w:rFonts w:hint="eastAsia" w:ascii="Arial" w:hAnsi="Arial" w:eastAsia="等线" w:cs="Arial"/>
                <w:sz w:val="22"/>
                <w:szCs w:val="22"/>
                <w:lang w:val="en-US" w:eastAsia="zh-CN"/>
              </w:rPr>
              <w:t>公务用车汽油消耗量（万升）</w:t>
            </w:r>
          </w:p>
          <w:p>
            <w:pPr>
              <w:keepNext w:val="0"/>
              <w:keepLines w:val="0"/>
              <w:widowControl/>
              <w:suppressLineNumbers w:val="0"/>
              <w:jc w:val="left"/>
              <w:textAlignment w:val="center"/>
              <w:rPr>
                <w:rFonts w:hint="eastAsia" w:ascii="Arial" w:hAnsi="Arial" w:eastAsia="等线" w:cs="Arial"/>
                <w:sz w:val="22"/>
                <w:szCs w:val="22"/>
                <w:lang w:val="en-US" w:eastAsia="zh-CN"/>
              </w:rPr>
            </w:pPr>
          </w:p>
        </w:tc>
        <w:tc>
          <w:tcPr>
            <w:tcW w:w="1905" w:type="dxa"/>
            <w:vAlign w:val="top"/>
          </w:tcPr>
          <w:p>
            <w:pPr>
              <w:keepNext w:val="0"/>
              <w:keepLines w:val="0"/>
              <w:widowControl/>
              <w:suppressLineNumbers w:val="0"/>
              <w:jc w:val="left"/>
              <w:textAlignment w:val="center"/>
              <w:rPr>
                <w:rFonts w:hint="eastAsia" w:ascii="Arial" w:hAnsi="Arial" w:eastAsia="等线" w:cs="Arial"/>
                <w:sz w:val="22"/>
                <w:szCs w:val="22"/>
                <w:lang w:val="en-US" w:eastAsia="zh-CN"/>
              </w:rPr>
            </w:pPr>
            <w:r>
              <w:rPr>
                <w:rFonts w:hint="eastAsia" w:ascii="Arial" w:hAnsi="Arial" w:eastAsia="等线" w:cs="Arial"/>
                <w:sz w:val="22"/>
                <w:szCs w:val="22"/>
                <w:lang w:val="en-US" w:eastAsia="zh-CN"/>
              </w:rPr>
              <w:t>17.46</w:t>
            </w:r>
          </w:p>
        </w:tc>
        <w:tc>
          <w:tcPr>
            <w:tcW w:w="1695" w:type="dxa"/>
            <w:vAlign w:val="top"/>
          </w:tcPr>
          <w:p>
            <w:pPr>
              <w:keepNext w:val="0"/>
              <w:keepLines w:val="0"/>
              <w:widowControl/>
              <w:suppressLineNumbers w:val="0"/>
              <w:jc w:val="left"/>
              <w:textAlignment w:val="center"/>
              <w:rPr>
                <w:rFonts w:hint="eastAsia" w:ascii="Arial" w:hAnsi="Arial" w:eastAsia="等线" w:cs="Arial"/>
                <w:sz w:val="22"/>
                <w:szCs w:val="22"/>
                <w:lang w:val="en-US" w:eastAsia="zh-CN"/>
              </w:rPr>
            </w:pPr>
            <w:r>
              <w:rPr>
                <w:rFonts w:hint="eastAsia" w:ascii="Arial" w:hAnsi="Arial" w:eastAsia="等线" w:cs="Arial"/>
                <w:sz w:val="22"/>
                <w:szCs w:val="22"/>
                <w:lang w:val="en-US" w:eastAsia="zh-CN"/>
              </w:rPr>
              <w:t>16.92</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22" w:hRule="atLeast"/>
        </w:trPr>
        <w:tc>
          <w:tcPr>
            <w:tcW w:w="4066" w:type="dxa"/>
            <w:vAlign w:val="top"/>
          </w:tcPr>
          <w:p>
            <w:pPr>
              <w:keepNext w:val="0"/>
              <w:keepLines w:val="0"/>
              <w:widowControl/>
              <w:suppressLineNumbers w:val="0"/>
              <w:jc w:val="left"/>
              <w:textAlignment w:val="center"/>
              <w:rPr>
                <w:rFonts w:hint="eastAsia" w:ascii="Arial" w:hAnsi="Arial" w:eastAsia="等线" w:cs="Arial"/>
                <w:sz w:val="22"/>
                <w:szCs w:val="22"/>
                <w:lang w:val="en-US" w:eastAsia="zh-CN"/>
              </w:rPr>
            </w:pPr>
            <w:r>
              <w:rPr>
                <w:rFonts w:hint="eastAsia" w:ascii="Arial" w:hAnsi="Arial" w:eastAsia="等线" w:cs="Arial"/>
                <w:sz w:val="22"/>
                <w:szCs w:val="22"/>
                <w:lang w:val="en-US" w:eastAsia="zh-CN"/>
              </w:rPr>
              <w:t>营业、办公用水量（万吨）</w:t>
            </w:r>
          </w:p>
          <w:p>
            <w:pPr>
              <w:keepNext w:val="0"/>
              <w:keepLines w:val="0"/>
              <w:widowControl/>
              <w:suppressLineNumbers w:val="0"/>
              <w:jc w:val="left"/>
              <w:textAlignment w:val="center"/>
              <w:rPr>
                <w:rFonts w:hint="eastAsia" w:ascii="Arial" w:hAnsi="Arial" w:eastAsia="等线" w:cs="Arial"/>
                <w:sz w:val="22"/>
                <w:szCs w:val="22"/>
                <w:lang w:val="en-US" w:eastAsia="zh-CN"/>
              </w:rPr>
            </w:pPr>
          </w:p>
        </w:tc>
        <w:tc>
          <w:tcPr>
            <w:tcW w:w="1905" w:type="dxa"/>
            <w:vAlign w:val="top"/>
          </w:tcPr>
          <w:p>
            <w:pPr>
              <w:keepNext w:val="0"/>
              <w:keepLines w:val="0"/>
              <w:widowControl/>
              <w:suppressLineNumbers w:val="0"/>
              <w:jc w:val="left"/>
              <w:textAlignment w:val="center"/>
              <w:rPr>
                <w:rFonts w:hint="eastAsia" w:ascii="Arial" w:hAnsi="Arial" w:eastAsia="等线" w:cs="Arial"/>
                <w:sz w:val="22"/>
                <w:szCs w:val="22"/>
                <w:lang w:val="en-US" w:eastAsia="zh-CN"/>
              </w:rPr>
            </w:pPr>
            <w:r>
              <w:rPr>
                <w:rFonts w:hint="eastAsia" w:ascii="Arial" w:hAnsi="Arial" w:eastAsia="等线" w:cs="Arial"/>
                <w:sz w:val="22"/>
                <w:szCs w:val="22"/>
                <w:lang w:val="en-US" w:eastAsia="zh-CN"/>
              </w:rPr>
              <w:t>6</w:t>
            </w:r>
          </w:p>
        </w:tc>
        <w:tc>
          <w:tcPr>
            <w:tcW w:w="1695" w:type="dxa"/>
            <w:vAlign w:val="top"/>
          </w:tcPr>
          <w:p>
            <w:pPr>
              <w:keepNext w:val="0"/>
              <w:keepLines w:val="0"/>
              <w:widowControl/>
              <w:suppressLineNumbers w:val="0"/>
              <w:jc w:val="left"/>
              <w:textAlignment w:val="center"/>
              <w:rPr>
                <w:rFonts w:hint="eastAsia" w:ascii="Arial" w:hAnsi="Arial" w:eastAsia="等线" w:cs="Arial"/>
                <w:sz w:val="22"/>
                <w:szCs w:val="22"/>
                <w:lang w:val="en-US" w:eastAsia="zh-CN"/>
              </w:rPr>
            </w:pPr>
            <w:r>
              <w:rPr>
                <w:rFonts w:hint="eastAsia" w:ascii="Arial" w:hAnsi="Arial" w:eastAsia="等线" w:cs="Arial"/>
                <w:sz w:val="22"/>
                <w:szCs w:val="22"/>
                <w:lang w:val="en-US" w:eastAsia="zh-CN"/>
              </w:rPr>
              <w:t>4.35</w:t>
            </w:r>
          </w:p>
        </w:tc>
      </w:tr>
    </w:tbl>
    <w:p>
      <w:pPr>
        <w:pStyle w:val="5"/>
        <w:keepNext w:val="0"/>
        <w:keepLines w:val="0"/>
        <w:pageBreakBefore w:val="0"/>
        <w:widowControl/>
        <w:kinsoku/>
        <w:wordWrap/>
        <w:overflowPunct/>
        <w:topLinePunct w:val="0"/>
        <w:autoSpaceDE/>
        <w:autoSpaceDN/>
        <w:bidi w:val="0"/>
        <w:adjustRightInd/>
        <w:snapToGrid/>
        <w:spacing w:line="576" w:lineRule="exact"/>
        <w:ind w:firstLine="640" w:firstLineChars="200"/>
        <w:textAlignment w:val="auto"/>
        <w:rPr>
          <w:rFonts w:hint="eastAsia" w:ascii="楷体" w:hAnsi="楷体" w:eastAsia="楷体" w:cs="楷体"/>
          <w:b w:val="0"/>
          <w:bCs w:val="0"/>
          <w:kern w:val="2"/>
          <w:sz w:val="32"/>
          <w:szCs w:val="32"/>
          <w:lang w:val="en-US" w:eastAsia="zh-CN" w:bidi="ar-SA"/>
        </w:rPr>
      </w:pPr>
      <w:r>
        <w:rPr>
          <w:rFonts w:hint="eastAsia" w:ascii="楷体" w:hAnsi="楷体" w:eastAsia="楷体" w:cs="楷体"/>
          <w:b w:val="0"/>
          <w:bCs w:val="0"/>
          <w:kern w:val="2"/>
          <w:sz w:val="32"/>
          <w:szCs w:val="32"/>
          <w:lang w:val="en-US" w:eastAsia="zh-CN" w:bidi="ar-SA"/>
        </w:rPr>
        <w:t>8.2绿色运营实践</w:t>
      </w:r>
    </w:p>
    <w:p>
      <w:pPr>
        <w:pStyle w:val="22"/>
        <w:keepNext w:val="0"/>
        <w:keepLines w:val="0"/>
        <w:pageBreakBefore w:val="0"/>
        <w:widowControl/>
        <w:kinsoku/>
        <w:wordWrap/>
        <w:overflowPunct/>
        <w:topLinePunct w:val="0"/>
        <w:autoSpaceDE/>
        <w:autoSpaceDN/>
        <w:bidi w:val="0"/>
        <w:adjustRightInd/>
        <w:snapToGrid/>
        <w:spacing w:line="576" w:lineRule="exact"/>
        <w:ind w:firstLine="640" w:firstLineChars="200"/>
        <w:textAlignment w:val="auto"/>
        <w:rPr>
          <w:rFonts w:hint="default" w:ascii="仿宋" w:hAnsi="仿宋" w:eastAsia="仿宋" w:cs="仿宋"/>
          <w:b w:val="0"/>
          <w:bCs w:val="0"/>
          <w:kern w:val="2"/>
          <w:sz w:val="32"/>
          <w:szCs w:val="32"/>
          <w:lang w:val="en-US" w:eastAsia="zh-CN" w:bidi="ar-SA"/>
        </w:rPr>
      </w:pPr>
      <w:r>
        <w:rPr>
          <w:rFonts w:hint="default" w:ascii="仿宋" w:hAnsi="仿宋" w:eastAsia="仿宋" w:cs="仿宋"/>
          <w:b w:val="0"/>
          <w:bCs w:val="0"/>
          <w:kern w:val="2"/>
          <w:sz w:val="32"/>
          <w:szCs w:val="32"/>
          <w:lang w:val="en-US" w:eastAsia="zh-CN" w:bidi="ar-SA"/>
        </w:rPr>
        <w:t>绿色办公：升级</w:t>
      </w:r>
      <w:r>
        <w:rPr>
          <w:rFonts w:hint="eastAsia" w:ascii="仿宋" w:hAnsi="仿宋" w:eastAsia="仿宋" w:cs="仿宋"/>
          <w:b w:val="0"/>
          <w:bCs w:val="0"/>
          <w:kern w:val="2"/>
          <w:sz w:val="32"/>
          <w:szCs w:val="32"/>
          <w:lang w:val="en-US" w:eastAsia="zh-CN" w:bidi="ar-SA"/>
        </w:rPr>
        <w:t>OA办公平台，优化OA流程，减少流转环节，除特殊文件、信息外，其他信息或办公事项基本实现OA流转与沟通。推出电子化会务管理平台，党委会、行办会全面实现电子化，全行其他各类会议基本实现电子化，全年减少纸质文件超10万张。视频会议替代异地出差，除年度工作会议等大型、必要会议外，分支行参加其他各类会议均通过视频会议参加，进一步减少交通能耗。</w:t>
      </w:r>
    </w:p>
    <w:p>
      <w:pPr>
        <w:pStyle w:val="4"/>
        <w:keepNext w:val="0"/>
        <w:keepLines w:val="0"/>
        <w:pageBreakBefore w:val="0"/>
        <w:widowControl/>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b w:val="0"/>
          <w:bCs w:val="0"/>
          <w:kern w:val="2"/>
          <w:sz w:val="32"/>
          <w:szCs w:val="32"/>
          <w:lang w:val="en-US" w:eastAsia="zh-CN" w:bidi="ar-SA"/>
        </w:rPr>
      </w:pPr>
      <w:r>
        <w:rPr>
          <w:rFonts w:hint="eastAsia" w:ascii="黑体" w:hAnsi="黑体" w:eastAsia="黑体" w:cs="黑体"/>
          <w:b w:val="0"/>
          <w:bCs w:val="0"/>
          <w:kern w:val="2"/>
          <w:sz w:val="32"/>
          <w:szCs w:val="32"/>
          <w:lang w:val="en-US" w:eastAsia="zh-CN" w:bidi="ar-SA"/>
        </w:rPr>
        <w:t>九、研究与交流成果</w:t>
      </w:r>
    </w:p>
    <w:p>
      <w:pPr>
        <w:pStyle w:val="5"/>
        <w:keepNext w:val="0"/>
        <w:keepLines w:val="0"/>
        <w:pageBreakBefore w:val="0"/>
        <w:widowControl/>
        <w:kinsoku/>
        <w:wordWrap/>
        <w:overflowPunct/>
        <w:topLinePunct w:val="0"/>
        <w:autoSpaceDE/>
        <w:autoSpaceDN/>
        <w:bidi w:val="0"/>
        <w:adjustRightInd/>
        <w:snapToGrid/>
        <w:spacing w:line="576" w:lineRule="exact"/>
        <w:ind w:firstLine="640" w:firstLineChars="200"/>
        <w:textAlignment w:val="auto"/>
        <w:rPr>
          <w:rFonts w:hint="eastAsia" w:ascii="楷体" w:hAnsi="楷体" w:eastAsia="楷体" w:cs="楷体"/>
          <w:b w:val="0"/>
          <w:bCs w:val="0"/>
          <w:kern w:val="2"/>
          <w:sz w:val="32"/>
          <w:szCs w:val="32"/>
          <w:lang w:val="en-US" w:eastAsia="zh-CN" w:bidi="ar-SA"/>
        </w:rPr>
      </w:pPr>
      <w:r>
        <w:rPr>
          <w:rFonts w:hint="eastAsia" w:ascii="楷体" w:hAnsi="楷体" w:eastAsia="楷体" w:cs="楷体"/>
          <w:b w:val="0"/>
          <w:bCs w:val="0"/>
          <w:kern w:val="2"/>
          <w:sz w:val="32"/>
          <w:szCs w:val="32"/>
          <w:lang w:val="en-US" w:eastAsia="zh-CN" w:bidi="ar-SA"/>
        </w:rPr>
        <w:t>9.1 研究成果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left"/>
        <w:textAlignment w:val="auto"/>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开展《边疆法人银行绿色金融路径探索 —— 基于西藏银行的实践分析》《低碳经济发展视域下的绿色金融研究 —— 以西藏银行为例》2 项内部专项研究，形成专业研究报告，为绿色金融产品创新、政策制定提供理论支撑。总结碳中和网点建设、个人碳账户运营实践经验，形成专项报告呈报高级管理层，指导全行绿色金融工作优化。</w:t>
      </w:r>
    </w:p>
    <w:p>
      <w:pPr>
        <w:pStyle w:val="5"/>
        <w:keepNext w:val="0"/>
        <w:keepLines w:val="0"/>
        <w:pageBreakBefore w:val="0"/>
        <w:widowControl/>
        <w:kinsoku/>
        <w:wordWrap/>
        <w:overflowPunct/>
        <w:topLinePunct w:val="0"/>
        <w:autoSpaceDE/>
        <w:autoSpaceDN/>
        <w:bidi w:val="0"/>
        <w:adjustRightInd/>
        <w:snapToGrid/>
        <w:spacing w:line="576" w:lineRule="exact"/>
        <w:ind w:firstLine="640" w:firstLineChars="200"/>
        <w:textAlignment w:val="auto"/>
        <w:rPr>
          <w:rFonts w:hint="eastAsia" w:ascii="楷体" w:hAnsi="楷体" w:eastAsia="楷体" w:cs="楷体"/>
          <w:b w:val="0"/>
          <w:bCs w:val="0"/>
          <w:kern w:val="2"/>
          <w:sz w:val="32"/>
          <w:szCs w:val="32"/>
          <w:lang w:val="en-US" w:eastAsia="zh-CN" w:bidi="ar-SA"/>
        </w:rPr>
      </w:pPr>
      <w:r>
        <w:rPr>
          <w:rFonts w:hint="eastAsia" w:ascii="楷体" w:hAnsi="楷体" w:eastAsia="楷体" w:cs="楷体"/>
          <w:b w:val="0"/>
          <w:bCs w:val="0"/>
          <w:kern w:val="2"/>
          <w:sz w:val="32"/>
          <w:szCs w:val="32"/>
          <w:lang w:val="en-US" w:eastAsia="zh-CN" w:bidi="ar-SA"/>
        </w:rPr>
        <w:t>9.2 交流与合作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left"/>
        <w:textAlignment w:val="auto"/>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受邀参加中国人民银行年度绿色金融会议，分享个人碳账户试点实践经验；与四川银行建立绿色金融战略合作关系，开展跨区域绿色债券投资、业务协同等合作。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left"/>
        <w:textAlignment w:val="auto"/>
        <w:rPr>
          <w:rFonts w:hint="eastAsia" w:ascii="楷体" w:hAnsi="楷体" w:eastAsia="楷体" w:cs="楷体"/>
          <w:b w:val="0"/>
          <w:bCs w:val="0"/>
          <w:kern w:val="2"/>
          <w:sz w:val="32"/>
          <w:szCs w:val="32"/>
          <w:lang w:val="en-US" w:eastAsia="zh-CN" w:bidi="ar-SA"/>
        </w:rPr>
      </w:pPr>
      <w:r>
        <w:rPr>
          <w:rFonts w:hint="eastAsia" w:ascii="楷体" w:hAnsi="楷体" w:eastAsia="楷体" w:cs="楷体"/>
          <w:b w:val="0"/>
          <w:bCs w:val="0"/>
          <w:kern w:val="2"/>
          <w:sz w:val="32"/>
          <w:szCs w:val="32"/>
          <w:lang w:val="en-US" w:eastAsia="zh-CN" w:bidi="ar-SA"/>
        </w:rPr>
        <w:t>9.3 宣传与推广</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left"/>
        <w:textAlignment w:val="auto"/>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通过官方网站、微信公众号等渠道，发布绿色金融政策、产品信息及生态保护倡议。开展 “绿色金融进园区、进企业、进乡村” 系列宣传活动，普及绿色金融理念与服务。</w:t>
      </w:r>
    </w:p>
    <w:p>
      <w:pPr>
        <w:pStyle w:val="4"/>
        <w:keepNext w:val="0"/>
        <w:keepLines w:val="0"/>
        <w:pageBreakBefore w:val="0"/>
        <w:widowControl/>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b w:val="0"/>
          <w:bCs w:val="0"/>
          <w:kern w:val="2"/>
          <w:sz w:val="32"/>
          <w:szCs w:val="32"/>
          <w:lang w:val="en-US" w:eastAsia="zh-CN" w:bidi="ar-SA"/>
        </w:rPr>
      </w:pPr>
      <w:r>
        <w:rPr>
          <w:rFonts w:hint="eastAsia" w:ascii="黑体" w:hAnsi="黑体" w:eastAsia="黑体" w:cs="黑体"/>
          <w:b w:val="0"/>
          <w:bCs w:val="0"/>
          <w:kern w:val="2"/>
          <w:sz w:val="32"/>
          <w:szCs w:val="32"/>
          <w:lang w:val="en-US" w:eastAsia="zh-CN" w:bidi="ar-SA"/>
        </w:rPr>
        <w:t>十、数据梳理、校验及保护</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left"/>
        <w:textAlignment w:val="auto"/>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建立 “业务主管部门申报 — 监管确认审核 — 归口部门校验上报” 全流程数据采集报送机制，明确各环节职责分工与管理责任，确保数据采集、审核、报送全流程可追溯、可验证。</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left"/>
        <w:textAlignment w:val="auto"/>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业务主管部门定期开展全行绿色贷款数据质量专项检查与问题整改，建立数据质量长效管理机制，持续提升数据准确性与可靠性。</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left"/>
        <w:textAlignment w:val="auto"/>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严格执行《数据安全应急响应预案》，建立数据安全事件预警、处置与防控机制，切实保障可持续发展相关数据安全。</w:t>
      </w:r>
    </w:p>
    <w:p>
      <w:pPr>
        <w:pStyle w:val="4"/>
        <w:keepNext w:val="0"/>
        <w:keepLines w:val="0"/>
        <w:pageBreakBefore w:val="0"/>
        <w:widowControl/>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b w:val="0"/>
          <w:bCs w:val="0"/>
          <w:kern w:val="2"/>
          <w:sz w:val="32"/>
          <w:szCs w:val="32"/>
          <w:lang w:val="en-US" w:eastAsia="zh-CN" w:bidi="ar-SA"/>
        </w:rPr>
      </w:pPr>
      <w:r>
        <w:rPr>
          <w:rFonts w:hint="eastAsia" w:ascii="黑体" w:hAnsi="黑体" w:eastAsia="黑体" w:cs="黑体"/>
          <w:b w:val="0"/>
          <w:bCs w:val="0"/>
          <w:kern w:val="2"/>
          <w:sz w:val="32"/>
          <w:szCs w:val="32"/>
          <w:lang w:val="en-US" w:eastAsia="zh-CN" w:bidi="ar-SA"/>
        </w:rPr>
        <w:t>十一、未来展望</w:t>
      </w:r>
    </w:p>
    <w:p>
      <w:pPr>
        <w:pStyle w:val="5"/>
        <w:keepNext w:val="0"/>
        <w:keepLines w:val="0"/>
        <w:pageBreakBefore w:val="0"/>
        <w:widowControl/>
        <w:kinsoku/>
        <w:wordWrap/>
        <w:overflowPunct/>
        <w:topLinePunct w:val="0"/>
        <w:autoSpaceDE/>
        <w:autoSpaceDN/>
        <w:bidi w:val="0"/>
        <w:adjustRightInd/>
        <w:snapToGrid/>
        <w:spacing w:line="576" w:lineRule="exact"/>
        <w:ind w:firstLine="640" w:firstLineChars="200"/>
        <w:textAlignment w:val="auto"/>
        <w:rPr>
          <w:rFonts w:hint="eastAsia" w:ascii="楷体" w:hAnsi="楷体" w:eastAsia="楷体" w:cs="楷体"/>
          <w:b w:val="0"/>
          <w:bCs w:val="0"/>
          <w:kern w:val="2"/>
          <w:sz w:val="32"/>
          <w:szCs w:val="32"/>
          <w:lang w:val="en-US" w:eastAsia="zh-CN" w:bidi="ar-SA"/>
        </w:rPr>
      </w:pPr>
      <w:r>
        <w:rPr>
          <w:rFonts w:hint="eastAsia" w:ascii="楷体" w:hAnsi="楷体" w:eastAsia="楷体" w:cs="楷体"/>
          <w:b w:val="0"/>
          <w:bCs w:val="0"/>
          <w:kern w:val="2"/>
          <w:sz w:val="32"/>
          <w:szCs w:val="32"/>
          <w:lang w:val="en-US" w:eastAsia="zh-CN" w:bidi="ar-SA"/>
        </w:rPr>
        <w:t>11.1 战略规划调整</w:t>
      </w:r>
    </w:p>
    <w:p>
      <w:pPr>
        <w:pStyle w:val="22"/>
        <w:keepNext w:val="0"/>
        <w:keepLines w:val="0"/>
        <w:pageBreakBefore w:val="0"/>
        <w:widowControl/>
        <w:numPr>
          <w:ilvl w:val="0"/>
          <w:numId w:val="0"/>
        </w:numPr>
        <w:kinsoku/>
        <w:wordWrap/>
        <w:overflowPunct/>
        <w:topLinePunct w:val="0"/>
        <w:autoSpaceDE/>
        <w:autoSpaceDN/>
        <w:bidi w:val="0"/>
        <w:adjustRightInd/>
        <w:snapToGrid/>
        <w:spacing w:line="576" w:lineRule="exact"/>
        <w:ind w:leftChars="0" w:firstLine="640" w:firstLineChars="200"/>
        <w:textAlignment w:val="auto"/>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持续加大绿色信贷投放力度，聚焦清洁能源、生态修复、绿色交通等重点领域。</w:t>
      </w:r>
    </w:p>
    <w:p>
      <w:pPr>
        <w:pStyle w:val="22"/>
        <w:keepNext w:val="0"/>
        <w:keepLines w:val="0"/>
        <w:pageBreakBefore w:val="0"/>
        <w:widowControl/>
        <w:numPr>
          <w:ilvl w:val="0"/>
          <w:numId w:val="0"/>
        </w:numPr>
        <w:kinsoku/>
        <w:wordWrap/>
        <w:overflowPunct/>
        <w:topLinePunct w:val="0"/>
        <w:autoSpaceDE/>
        <w:autoSpaceDN/>
        <w:bidi w:val="0"/>
        <w:adjustRightInd/>
        <w:snapToGrid/>
        <w:spacing w:line="576" w:lineRule="exact"/>
        <w:ind w:leftChars="0" w:firstLine="640" w:firstLineChars="200"/>
        <w:textAlignment w:val="auto"/>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深化产品创新，完善个人碳账户权益兑换体系。</w:t>
      </w:r>
    </w:p>
    <w:p>
      <w:pPr>
        <w:pStyle w:val="22"/>
        <w:keepNext w:val="0"/>
        <w:keepLines w:val="0"/>
        <w:pageBreakBefore w:val="0"/>
        <w:widowControl/>
        <w:numPr>
          <w:ilvl w:val="0"/>
          <w:numId w:val="0"/>
        </w:numPr>
        <w:kinsoku/>
        <w:wordWrap/>
        <w:overflowPunct/>
        <w:topLinePunct w:val="0"/>
        <w:autoSpaceDE/>
        <w:autoSpaceDN/>
        <w:bidi w:val="0"/>
        <w:adjustRightInd/>
        <w:snapToGrid/>
        <w:spacing w:line="576" w:lineRule="exact"/>
        <w:ind w:leftChars="0" w:firstLine="640" w:firstLineChars="200"/>
        <w:textAlignment w:val="auto"/>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推进绿色网点建设，计划2026年再建成1家“碳中和建筑”网点。</w:t>
      </w:r>
    </w:p>
    <w:p>
      <w:pPr>
        <w:pStyle w:val="5"/>
        <w:keepNext w:val="0"/>
        <w:keepLines w:val="0"/>
        <w:pageBreakBefore w:val="0"/>
        <w:widowControl/>
        <w:kinsoku/>
        <w:wordWrap/>
        <w:overflowPunct/>
        <w:topLinePunct w:val="0"/>
        <w:autoSpaceDE/>
        <w:autoSpaceDN/>
        <w:bidi w:val="0"/>
        <w:adjustRightInd/>
        <w:snapToGrid/>
        <w:spacing w:line="576" w:lineRule="exact"/>
        <w:ind w:firstLine="640" w:firstLineChars="200"/>
        <w:textAlignment w:val="auto"/>
        <w:rPr>
          <w:rFonts w:hint="eastAsia" w:ascii="楷体" w:hAnsi="楷体" w:eastAsia="楷体" w:cs="楷体"/>
          <w:b w:val="0"/>
          <w:bCs w:val="0"/>
          <w:kern w:val="2"/>
          <w:sz w:val="32"/>
          <w:szCs w:val="32"/>
          <w:lang w:val="en-US" w:eastAsia="zh-CN" w:bidi="ar-SA"/>
        </w:rPr>
      </w:pPr>
      <w:r>
        <w:rPr>
          <w:rFonts w:hint="eastAsia" w:ascii="楷体" w:hAnsi="楷体" w:eastAsia="楷体" w:cs="楷体"/>
          <w:b w:val="0"/>
          <w:bCs w:val="0"/>
          <w:kern w:val="2"/>
          <w:sz w:val="32"/>
          <w:szCs w:val="32"/>
          <w:lang w:val="en-US" w:eastAsia="zh-CN" w:bidi="ar-SA"/>
        </w:rPr>
        <w:t>11.2 治理与政策优化</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left"/>
        <w:textAlignment w:val="auto"/>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健全可持续发展治理架构，强化董事会决策引领作用，提升治理效能。</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left"/>
        <w:textAlignment w:val="auto"/>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优化绿色金融绩效考核体系，明晰考核责任归属，构建全行协同联动的绿色金融工作格局。</w:t>
      </w:r>
    </w:p>
    <w:p>
      <w:pPr>
        <w:pStyle w:val="5"/>
        <w:keepNext w:val="0"/>
        <w:keepLines w:val="0"/>
        <w:pageBreakBefore w:val="0"/>
        <w:widowControl/>
        <w:kinsoku/>
        <w:wordWrap/>
        <w:overflowPunct/>
        <w:topLinePunct w:val="0"/>
        <w:autoSpaceDE/>
        <w:autoSpaceDN/>
        <w:bidi w:val="0"/>
        <w:adjustRightInd/>
        <w:snapToGrid/>
        <w:spacing w:line="576" w:lineRule="exact"/>
        <w:ind w:firstLine="640" w:firstLineChars="200"/>
        <w:textAlignment w:val="auto"/>
        <w:rPr>
          <w:rFonts w:hint="eastAsia" w:ascii="楷体" w:hAnsi="楷体" w:eastAsia="楷体" w:cs="楷体"/>
          <w:b w:val="0"/>
          <w:bCs w:val="0"/>
          <w:kern w:val="2"/>
          <w:sz w:val="32"/>
          <w:szCs w:val="32"/>
          <w:lang w:val="en-US" w:eastAsia="zh-CN" w:bidi="ar-SA"/>
        </w:rPr>
      </w:pPr>
      <w:r>
        <w:rPr>
          <w:rFonts w:hint="eastAsia" w:ascii="楷体" w:hAnsi="楷体" w:eastAsia="楷体" w:cs="楷体"/>
          <w:b w:val="0"/>
          <w:bCs w:val="0"/>
          <w:kern w:val="2"/>
          <w:sz w:val="32"/>
          <w:szCs w:val="32"/>
          <w:lang w:val="en-US" w:eastAsia="zh-CN" w:bidi="ar-SA"/>
        </w:rPr>
        <w:t>11.3 信息披露提升</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left"/>
        <w:textAlignment w:val="auto"/>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逐步扩大可持续信息披露范围，提升披露信息质量与完整性。优化信息披露形式，采用图表、案例、量化指标等多样化呈现方式，增强信息可读性、可理解性与可比性。</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left"/>
        <w:textAlignment w:val="auto"/>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本行将始终坚守可持续发展理念，严格遵循《金融机构可持续信息披露指南》要求，持续深化绿色金融实践，完善治理体系，强化风险管控，提升信息披露质量，为西藏自治区生态文明高地建设与经济社会高质量发展贡献金融力量。</w:t>
      </w:r>
    </w:p>
    <w:p>
      <w:pPr>
        <w:pStyle w:val="22"/>
        <w:keepNext w:val="0"/>
        <w:keepLines w:val="0"/>
        <w:pageBreakBefore w:val="0"/>
        <w:widowControl/>
        <w:kinsoku/>
        <w:wordWrap/>
        <w:overflowPunct/>
        <w:topLinePunct w:val="0"/>
        <w:autoSpaceDE/>
        <w:autoSpaceDN/>
        <w:bidi w:val="0"/>
        <w:adjustRightInd/>
        <w:snapToGrid/>
        <w:spacing w:line="576" w:lineRule="exact"/>
        <w:ind w:firstLine="5280" w:firstLineChars="2400"/>
        <w:textAlignment w:val="auto"/>
      </w:pPr>
    </w:p>
    <w:p>
      <w:pPr>
        <w:pStyle w:val="22"/>
        <w:keepNext w:val="0"/>
        <w:keepLines w:val="0"/>
        <w:pageBreakBefore w:val="0"/>
        <w:widowControl/>
        <w:numPr>
          <w:ilvl w:val="0"/>
          <w:numId w:val="0"/>
        </w:numPr>
        <w:kinsoku/>
        <w:wordWrap/>
        <w:overflowPunct/>
        <w:topLinePunct w:val="0"/>
        <w:autoSpaceDE/>
        <w:autoSpaceDN/>
        <w:bidi w:val="0"/>
        <w:adjustRightInd/>
        <w:snapToGrid/>
        <w:spacing w:line="576" w:lineRule="exact"/>
        <w:ind w:leftChars="0" w:firstLine="640" w:firstLineChars="200"/>
        <w:textAlignment w:val="auto"/>
        <w:rPr>
          <w:rFonts w:hint="eastAsia" w:ascii="仿宋" w:hAnsi="仿宋" w:eastAsia="仿宋" w:cs="仿宋"/>
          <w:b w:val="0"/>
          <w:bCs w:val="0"/>
          <w:kern w:val="2"/>
          <w:sz w:val="32"/>
          <w:szCs w:val="32"/>
          <w:lang w:val="en-US" w:eastAsia="zh-CN" w:bidi="ar-SA"/>
        </w:rPr>
      </w:pPr>
    </w:p>
    <w:p>
      <w:pPr>
        <w:pStyle w:val="22"/>
        <w:keepNext w:val="0"/>
        <w:keepLines w:val="0"/>
        <w:pageBreakBefore w:val="0"/>
        <w:widowControl/>
        <w:numPr>
          <w:ilvl w:val="0"/>
          <w:numId w:val="0"/>
        </w:numPr>
        <w:kinsoku/>
        <w:wordWrap/>
        <w:overflowPunct/>
        <w:topLinePunct w:val="0"/>
        <w:autoSpaceDE/>
        <w:autoSpaceDN/>
        <w:bidi w:val="0"/>
        <w:adjustRightInd/>
        <w:snapToGrid/>
        <w:spacing w:line="576" w:lineRule="exact"/>
        <w:ind w:leftChars="0" w:firstLine="640" w:firstLineChars="200"/>
        <w:textAlignment w:val="auto"/>
        <w:rPr>
          <w:rFonts w:hint="eastAsia" w:ascii="仿宋" w:hAnsi="仿宋" w:eastAsia="仿宋" w:cs="仿宋"/>
          <w:b w:val="0"/>
          <w:bCs w:val="0"/>
          <w:kern w:val="2"/>
          <w:sz w:val="32"/>
          <w:szCs w:val="32"/>
          <w:lang w:val="en-US" w:eastAsia="zh-CN" w:bidi="ar-SA"/>
        </w:rPr>
      </w:pPr>
    </w:p>
    <w:p>
      <w:pPr>
        <w:pStyle w:val="22"/>
        <w:keepNext w:val="0"/>
        <w:keepLines w:val="0"/>
        <w:pageBreakBefore w:val="0"/>
        <w:widowControl/>
        <w:numPr>
          <w:ilvl w:val="0"/>
          <w:numId w:val="0"/>
        </w:numPr>
        <w:kinsoku/>
        <w:wordWrap/>
        <w:overflowPunct/>
        <w:topLinePunct w:val="0"/>
        <w:autoSpaceDE/>
        <w:autoSpaceDN/>
        <w:bidi w:val="0"/>
        <w:adjustRightInd/>
        <w:snapToGrid/>
        <w:spacing w:line="576" w:lineRule="exact"/>
        <w:ind w:leftChars="0" w:firstLine="4160" w:firstLineChars="1300"/>
        <w:textAlignment w:val="auto"/>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西藏银行股份有限公司</w:t>
      </w:r>
    </w:p>
    <w:p>
      <w:pPr>
        <w:pStyle w:val="22"/>
        <w:keepNext w:val="0"/>
        <w:keepLines w:val="0"/>
        <w:pageBreakBefore w:val="0"/>
        <w:widowControl/>
        <w:numPr>
          <w:ilvl w:val="0"/>
          <w:numId w:val="0"/>
        </w:numPr>
        <w:kinsoku/>
        <w:wordWrap/>
        <w:overflowPunct/>
        <w:topLinePunct w:val="0"/>
        <w:autoSpaceDE/>
        <w:autoSpaceDN/>
        <w:bidi w:val="0"/>
        <w:adjustRightInd/>
        <w:snapToGrid/>
        <w:spacing w:line="576" w:lineRule="exact"/>
        <w:ind w:firstLine="4800" w:firstLineChars="1500"/>
        <w:textAlignment w:val="auto"/>
        <w:rPr>
          <w:rFonts w:hint="default"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2026年4月1日</w:t>
      </w:r>
    </w:p>
    <w:sectPr>
      <w:headerReference r:id="rId3" w:type="default"/>
      <w:footerReference r:id="rId4" w:type="default"/>
      <w:pgSz w:w="11906" w:h="16838"/>
      <w:pgMar w:top="1440" w:right="1440" w:bottom="1440" w:left="1440" w:header="708" w:footer="708" w:gutter="0"/>
      <w:pgBorders>
        <w:top w:val="none" w:sz="0" w:space="0"/>
        <w:left w:val="none" w:sz="0" w:space="0"/>
        <w:bottom w:val="none" w:sz="0" w:space="0"/>
        <w:right w:val="none" w:sz="0" w:space="0"/>
      </w:pgBorders>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PMingLiU">
    <w:panose1 w:val="02020500000000000000"/>
    <w:charset w:val="88"/>
    <w:family w:val="auto"/>
    <w:pitch w:val="default"/>
    <w:sig w:usb0="A00002FF" w:usb1="28CFFCFA" w:usb2="00000016" w:usb3="00000000" w:csb0="0010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p>
    <w:pPr>
      <w:pStyle w:val="12"/>
    </w:pPr>
  </w:p>
  <w:p>
    <w:pPr>
      <w:pStyle w:val="12"/>
      <w:pBdr>
        <w:bottom w:val="single" w:color="auto" w:sz="6" w:space="0"/>
      </w:pBdr>
    </w:pPr>
    <w:r>
      <w:rPr>
        <w:rFonts w:hint="eastAsia" w:ascii="宋体" w:hAnsi="宋体" w:eastAsia="宋体"/>
        <w:sz w:val="18"/>
        <w:szCs w:val="18"/>
      </w:rPr>
      <w:drawing>
        <wp:inline distT="0" distB="0" distL="114300" distR="114300">
          <wp:extent cx="1091565" cy="196215"/>
          <wp:effectExtent l="0" t="0" r="13335" b="13335"/>
          <wp:docPr id="2" name="图片 2" descr="西藏银行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西藏银行logo"/>
                  <pic:cNvPicPr>
                    <a:picLocks noChangeAspect="1"/>
                  </pic:cNvPicPr>
                </pic:nvPicPr>
                <pic:blipFill>
                  <a:blip r:embed="rId1"/>
                  <a:stretch>
                    <a:fillRect/>
                  </a:stretch>
                </pic:blipFill>
                <pic:spPr>
                  <a:xfrm>
                    <a:off x="0" y="0"/>
                    <a:ext cx="1091565" cy="196215"/>
                  </a:xfrm>
                  <a:prstGeom prst="rect">
                    <a:avLst/>
                  </a:prstGeom>
                  <a:noFill/>
                  <a:ln>
                    <a:noFill/>
                  </a:ln>
                </pic:spPr>
              </pic:pic>
            </a:graphicData>
          </a:graphic>
        </wp:inline>
      </w:drawing>
    </w:r>
    <w:r>
      <w:rPr>
        <w:rFonts w:hint="eastAsia" w:ascii="宋体" w:hAnsi="宋体" w:eastAsia="宋体"/>
        <w:sz w:val="18"/>
        <w:szCs w:val="18"/>
      </w:rPr>
      <w:t>第四届董事会第</w:t>
    </w:r>
    <w:r>
      <w:rPr>
        <w:rFonts w:hint="eastAsia" w:ascii="宋体" w:hAnsi="宋体" w:eastAsia="宋体"/>
        <w:sz w:val="18"/>
        <w:szCs w:val="18"/>
        <w:lang w:eastAsia="zh-CN"/>
      </w:rPr>
      <w:t>十一</w:t>
    </w:r>
    <w:r>
      <w:rPr>
        <w:rFonts w:hint="eastAsia" w:ascii="宋体" w:hAnsi="宋体" w:eastAsia="宋体"/>
        <w:sz w:val="18"/>
        <w:szCs w:val="18"/>
      </w:rPr>
      <w:t>次会议暨202</w:t>
    </w:r>
    <w:r>
      <w:rPr>
        <w:rFonts w:hint="eastAsia" w:ascii="宋体" w:hAnsi="宋体" w:eastAsia="宋体"/>
        <w:sz w:val="18"/>
        <w:szCs w:val="18"/>
        <w:lang w:val="en-US" w:eastAsia="zh-CN"/>
      </w:rPr>
      <w:t>5</w:t>
    </w:r>
    <w:r>
      <w:rPr>
        <w:rFonts w:hint="eastAsia" w:ascii="宋体" w:hAnsi="宋体" w:eastAsia="宋体"/>
        <w:sz w:val="18"/>
        <w:szCs w:val="18"/>
      </w:rPr>
      <w:t xml:space="preserve">年度董事会      </w:t>
    </w:r>
    <w:r>
      <w:rPr>
        <w:rFonts w:hint="eastAsia" w:ascii="宋体" w:hAnsi="宋体" w:eastAsia="宋体"/>
        <w:sz w:val="18"/>
        <w:szCs w:val="18"/>
        <w:lang w:val="en-US" w:eastAsia="zh-CN"/>
      </w:rPr>
      <w:t xml:space="preserve">                                       2026</w:t>
    </w:r>
    <w:r>
      <w:rPr>
        <w:rFonts w:hint="eastAsia" w:ascii="宋体" w:hAnsi="宋体" w:eastAsia="宋体"/>
        <w:sz w:val="18"/>
        <w:szCs w:val="18"/>
      </w:rPr>
      <w:t>年</w:t>
    </w:r>
    <w:r>
      <w:rPr>
        <w:rFonts w:hint="eastAsia" w:ascii="宋体" w:hAnsi="宋体" w:eastAsia="宋体"/>
        <w:sz w:val="18"/>
        <w:szCs w:val="18"/>
        <w:lang w:val="en-US" w:eastAsia="zh-CN"/>
      </w:rPr>
      <w:t>4</w:t>
    </w:r>
    <w:r>
      <w:rPr>
        <w:rFonts w:hint="eastAsia" w:ascii="宋体" w:hAnsi="宋体" w:eastAsia="宋体"/>
        <w:sz w:val="18"/>
        <w:szCs w:val="18"/>
      </w:rPr>
      <w:t>月</w:t>
    </w:r>
    <w:r>
      <w:rPr>
        <w:rFonts w:hint="eastAsia" w:ascii="宋体" w:hAnsi="宋体" w:eastAsia="宋体"/>
        <w:sz w:val="18"/>
        <w:szCs w:val="18"/>
        <w:lang w:val="en-US" w:eastAsia="zh-CN"/>
      </w:rPr>
      <w:t>23</w:t>
    </w:r>
    <w:r>
      <w:rPr>
        <w:rFonts w:hint="eastAsia" w:ascii="宋体" w:hAnsi="宋体" w:eastAsia="宋体"/>
        <w:sz w:val="18"/>
        <w:szCs w:val="18"/>
      </w:rPr>
      <w:t>日</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EBAB86B"/>
    <w:multiLevelType w:val="multilevel"/>
    <w:tmpl w:val="AEBAB86B"/>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o"/>
      <w:lvlJc w:val="left"/>
      <w:pPr>
        <w:tabs>
          <w:tab w:val="left" w:pos="1440"/>
        </w:tabs>
        <w:ind w:left="1440" w:hanging="360"/>
      </w:pPr>
      <w:rPr>
        <w:rFonts w:ascii="Courier New" w:hAnsi="Courier New" w:cs="Courier New"/>
        <w:sz w:val="20"/>
      </w:rPr>
    </w:lvl>
    <w:lvl w:ilvl="2" w:tentative="0">
      <w:start w:val="1"/>
      <w:numFmt w:val="bullet"/>
      <w:lvlText w:val=""/>
      <w:lvlJc w:val="left"/>
      <w:pPr>
        <w:tabs>
          <w:tab w:val="left" w:pos="2160"/>
        </w:tabs>
        <w:ind w:left="2160" w:hanging="360"/>
      </w:pPr>
      <w:rPr>
        <w:rFonts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1">
    <w:nsid w:val="2F01F786"/>
    <w:multiLevelType w:val="multilevel"/>
    <w:tmpl w:val="2F01F786"/>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90"/>
  <w:displayBackgroundShape w:val="1"/>
  <w:bordersDoNotSurroundHeader w:val="0"/>
  <w:bordersDoNotSurroundFooter w:val="0"/>
  <w:documentProtection w:enforcement="0"/>
  <w:displayHorizontalDrawingGridEvery w:val="1"/>
  <w:displayVerticalDrawingGridEvery w:val="1"/>
  <w:noPunctuationKerning w:val="1"/>
  <w:hdrShapeDefaults>
    <o:shapelayout v:ext="edit">
      <o:idmap v:ext="edit" data="3,4"/>
    </o:shapelayout>
  </w:hdrShapeDefaults>
  <w:compat>
    <w:doNotExpandShiftReturn/>
    <w:doNotWrapTextWithPunct/>
    <w:doNotUseEastAsianBreakRules/>
    <w:useFELayout/>
    <w:doNotUseIndentAsNumberingTabStop/>
    <w:compatSetting w:name="compatibilityMode" w:uri="http://schemas.microsoft.com/office/word" w:val="15"/>
  </w:compat>
  <w:rsids>
    <w:rsidRoot w:val="00000000"/>
    <w:rsid w:val="001F3ADA"/>
    <w:rsid w:val="00202EC6"/>
    <w:rsid w:val="00DB7D76"/>
    <w:rsid w:val="01657CDA"/>
    <w:rsid w:val="026B74AB"/>
    <w:rsid w:val="02B81885"/>
    <w:rsid w:val="02B86002"/>
    <w:rsid w:val="03425F66"/>
    <w:rsid w:val="036B4BAC"/>
    <w:rsid w:val="03D21FD2"/>
    <w:rsid w:val="03D332D6"/>
    <w:rsid w:val="03D37A53"/>
    <w:rsid w:val="04373D7D"/>
    <w:rsid w:val="044730A1"/>
    <w:rsid w:val="04E35692"/>
    <w:rsid w:val="054B291D"/>
    <w:rsid w:val="05CA210C"/>
    <w:rsid w:val="05F509D2"/>
    <w:rsid w:val="06133805"/>
    <w:rsid w:val="062E56B4"/>
    <w:rsid w:val="063C6BC8"/>
    <w:rsid w:val="0682513E"/>
    <w:rsid w:val="07201E36"/>
    <w:rsid w:val="08380F8C"/>
    <w:rsid w:val="087B7477"/>
    <w:rsid w:val="08B253D3"/>
    <w:rsid w:val="09015152"/>
    <w:rsid w:val="091E4702"/>
    <w:rsid w:val="096B4801"/>
    <w:rsid w:val="0A2E2341"/>
    <w:rsid w:val="0A690774"/>
    <w:rsid w:val="0A9C61F8"/>
    <w:rsid w:val="0B3A0089"/>
    <w:rsid w:val="0B5730A8"/>
    <w:rsid w:val="0C8B34A5"/>
    <w:rsid w:val="0D007BE0"/>
    <w:rsid w:val="0D12482E"/>
    <w:rsid w:val="0DAD4881"/>
    <w:rsid w:val="0E784B07"/>
    <w:rsid w:val="0ED46E49"/>
    <w:rsid w:val="0F5E67C6"/>
    <w:rsid w:val="1000054D"/>
    <w:rsid w:val="10223F85"/>
    <w:rsid w:val="103A162C"/>
    <w:rsid w:val="11162294"/>
    <w:rsid w:val="11847C41"/>
    <w:rsid w:val="11CD7595"/>
    <w:rsid w:val="120C7329"/>
    <w:rsid w:val="128611F1"/>
    <w:rsid w:val="128C697D"/>
    <w:rsid w:val="14F831F4"/>
    <w:rsid w:val="15591F94"/>
    <w:rsid w:val="15A75916"/>
    <w:rsid w:val="168F2010"/>
    <w:rsid w:val="16907A92"/>
    <w:rsid w:val="169B16A6"/>
    <w:rsid w:val="16E817A5"/>
    <w:rsid w:val="176432ED"/>
    <w:rsid w:val="181C2A9C"/>
    <w:rsid w:val="1856197C"/>
    <w:rsid w:val="189F659D"/>
    <w:rsid w:val="197C2433"/>
    <w:rsid w:val="1AA027BB"/>
    <w:rsid w:val="1AAC404F"/>
    <w:rsid w:val="1ADD120E"/>
    <w:rsid w:val="1AE97737"/>
    <w:rsid w:val="1B1E117D"/>
    <w:rsid w:val="1B5A546C"/>
    <w:rsid w:val="1BBF0209"/>
    <w:rsid w:val="1C016EFF"/>
    <w:rsid w:val="1C52137F"/>
    <w:rsid w:val="1C752FA8"/>
    <w:rsid w:val="1D715E5C"/>
    <w:rsid w:val="1DBC66D4"/>
    <w:rsid w:val="1E5F2261"/>
    <w:rsid w:val="1E9239B5"/>
    <w:rsid w:val="1EB53B18"/>
    <w:rsid w:val="1EDF46B8"/>
    <w:rsid w:val="1EF42755"/>
    <w:rsid w:val="1F2332A4"/>
    <w:rsid w:val="1F4A3163"/>
    <w:rsid w:val="1F5B6C81"/>
    <w:rsid w:val="1F6C3E55"/>
    <w:rsid w:val="1FA72CC7"/>
    <w:rsid w:val="1FE223DD"/>
    <w:rsid w:val="20700D48"/>
    <w:rsid w:val="21BB1C63"/>
    <w:rsid w:val="22226190"/>
    <w:rsid w:val="224D4A55"/>
    <w:rsid w:val="22ED6B5D"/>
    <w:rsid w:val="232721BA"/>
    <w:rsid w:val="2357078B"/>
    <w:rsid w:val="23BB04AF"/>
    <w:rsid w:val="24726959"/>
    <w:rsid w:val="24C3545E"/>
    <w:rsid w:val="24D17F5D"/>
    <w:rsid w:val="25284504"/>
    <w:rsid w:val="255372CC"/>
    <w:rsid w:val="25B65CEB"/>
    <w:rsid w:val="25BD0EF9"/>
    <w:rsid w:val="26536E6E"/>
    <w:rsid w:val="265E5200"/>
    <w:rsid w:val="2774529A"/>
    <w:rsid w:val="279142F8"/>
    <w:rsid w:val="27C937EA"/>
    <w:rsid w:val="27CB7955"/>
    <w:rsid w:val="27D63767"/>
    <w:rsid w:val="282F0DB3"/>
    <w:rsid w:val="28AF6CCE"/>
    <w:rsid w:val="29311825"/>
    <w:rsid w:val="2A451C4C"/>
    <w:rsid w:val="2B060862"/>
    <w:rsid w:val="2B3F0281"/>
    <w:rsid w:val="2BDC1D19"/>
    <w:rsid w:val="2C202DF2"/>
    <w:rsid w:val="2C416BAA"/>
    <w:rsid w:val="2C960B38"/>
    <w:rsid w:val="2D1B430E"/>
    <w:rsid w:val="2D4D255F"/>
    <w:rsid w:val="2D562E6F"/>
    <w:rsid w:val="2DB97690"/>
    <w:rsid w:val="2ED74F49"/>
    <w:rsid w:val="2EDD77F3"/>
    <w:rsid w:val="2EE04EF4"/>
    <w:rsid w:val="2F0C123B"/>
    <w:rsid w:val="2F544EB3"/>
    <w:rsid w:val="2F6760D2"/>
    <w:rsid w:val="2F68476E"/>
    <w:rsid w:val="2FF77F3F"/>
    <w:rsid w:val="2FF93442"/>
    <w:rsid w:val="3057125D"/>
    <w:rsid w:val="30A35E59"/>
    <w:rsid w:val="31002970"/>
    <w:rsid w:val="319950ED"/>
    <w:rsid w:val="31AE7611"/>
    <w:rsid w:val="31CD6BA8"/>
    <w:rsid w:val="31D72142"/>
    <w:rsid w:val="31FA1C8E"/>
    <w:rsid w:val="31FC4CAA"/>
    <w:rsid w:val="32285C55"/>
    <w:rsid w:val="324F1E45"/>
    <w:rsid w:val="32AE71B3"/>
    <w:rsid w:val="32EE73AD"/>
    <w:rsid w:val="33365E13"/>
    <w:rsid w:val="333711F5"/>
    <w:rsid w:val="3430602A"/>
    <w:rsid w:val="34CB3CAA"/>
    <w:rsid w:val="35F8354B"/>
    <w:rsid w:val="361E5558"/>
    <w:rsid w:val="367E4976"/>
    <w:rsid w:val="36894F05"/>
    <w:rsid w:val="37067D52"/>
    <w:rsid w:val="370E09E1"/>
    <w:rsid w:val="375B0AE1"/>
    <w:rsid w:val="37760883"/>
    <w:rsid w:val="378C4B33"/>
    <w:rsid w:val="38F54FFF"/>
    <w:rsid w:val="3970274A"/>
    <w:rsid w:val="39DC787B"/>
    <w:rsid w:val="39F407A5"/>
    <w:rsid w:val="3A7F4B06"/>
    <w:rsid w:val="3B0C59EE"/>
    <w:rsid w:val="3B3101AC"/>
    <w:rsid w:val="3D55462F"/>
    <w:rsid w:val="3DA61CC4"/>
    <w:rsid w:val="3DCB7AF0"/>
    <w:rsid w:val="3DF59875"/>
    <w:rsid w:val="3E204FFC"/>
    <w:rsid w:val="3EEF43D0"/>
    <w:rsid w:val="41415E9E"/>
    <w:rsid w:val="41B8355E"/>
    <w:rsid w:val="42B76D04"/>
    <w:rsid w:val="43297F3D"/>
    <w:rsid w:val="438D7C61"/>
    <w:rsid w:val="43F25407"/>
    <w:rsid w:val="440E14B4"/>
    <w:rsid w:val="44464E91"/>
    <w:rsid w:val="444E5B21"/>
    <w:rsid w:val="44B32010"/>
    <w:rsid w:val="44C879E9"/>
    <w:rsid w:val="44D74780"/>
    <w:rsid w:val="4590612D"/>
    <w:rsid w:val="459F0946"/>
    <w:rsid w:val="45AF0BE0"/>
    <w:rsid w:val="468034B7"/>
    <w:rsid w:val="468D05CE"/>
    <w:rsid w:val="469E62EA"/>
    <w:rsid w:val="47120827"/>
    <w:rsid w:val="47665118"/>
    <w:rsid w:val="479F09BE"/>
    <w:rsid w:val="47FD752B"/>
    <w:rsid w:val="482A12F4"/>
    <w:rsid w:val="48AD604A"/>
    <w:rsid w:val="4A1164DB"/>
    <w:rsid w:val="4B03651F"/>
    <w:rsid w:val="4B9B321A"/>
    <w:rsid w:val="4BE0268A"/>
    <w:rsid w:val="4C8D6025"/>
    <w:rsid w:val="4CBD0D73"/>
    <w:rsid w:val="4E5E7C38"/>
    <w:rsid w:val="4E6039A2"/>
    <w:rsid w:val="4F88250B"/>
    <w:rsid w:val="4FBD16E0"/>
    <w:rsid w:val="4FF31BBA"/>
    <w:rsid w:val="4FFD7F4B"/>
    <w:rsid w:val="500F7E65"/>
    <w:rsid w:val="501F267E"/>
    <w:rsid w:val="504474F4"/>
    <w:rsid w:val="508B3032"/>
    <w:rsid w:val="510B737C"/>
    <w:rsid w:val="51785239"/>
    <w:rsid w:val="51B07591"/>
    <w:rsid w:val="51E859D5"/>
    <w:rsid w:val="52CA5AE0"/>
    <w:rsid w:val="534E2EFC"/>
    <w:rsid w:val="537B7EB3"/>
    <w:rsid w:val="539B03B7"/>
    <w:rsid w:val="540E7126"/>
    <w:rsid w:val="54203E93"/>
    <w:rsid w:val="54F372B3"/>
    <w:rsid w:val="557547C5"/>
    <w:rsid w:val="56160D40"/>
    <w:rsid w:val="56707EE0"/>
    <w:rsid w:val="56AF3248"/>
    <w:rsid w:val="56BC4ADC"/>
    <w:rsid w:val="56E46B9A"/>
    <w:rsid w:val="57404D35"/>
    <w:rsid w:val="57940F3C"/>
    <w:rsid w:val="583A4F4D"/>
    <w:rsid w:val="58803ECD"/>
    <w:rsid w:val="589752E6"/>
    <w:rsid w:val="58BC7AA4"/>
    <w:rsid w:val="5996123D"/>
    <w:rsid w:val="59C13ACF"/>
    <w:rsid w:val="5A95732A"/>
    <w:rsid w:val="5A9A37B2"/>
    <w:rsid w:val="5ACA6500"/>
    <w:rsid w:val="5B5041DA"/>
    <w:rsid w:val="5B78539F"/>
    <w:rsid w:val="5C3979DB"/>
    <w:rsid w:val="5C967D75"/>
    <w:rsid w:val="5CA31420"/>
    <w:rsid w:val="5CA72D7A"/>
    <w:rsid w:val="5CDD26E7"/>
    <w:rsid w:val="5D017424"/>
    <w:rsid w:val="5D032927"/>
    <w:rsid w:val="5DAD1ABB"/>
    <w:rsid w:val="5DED6128"/>
    <w:rsid w:val="5DF50FB6"/>
    <w:rsid w:val="5E607025"/>
    <w:rsid w:val="5EC61C02"/>
    <w:rsid w:val="5EF442F3"/>
    <w:rsid w:val="5FE11A5B"/>
    <w:rsid w:val="5FF81680"/>
    <w:rsid w:val="604265FC"/>
    <w:rsid w:val="60510E15"/>
    <w:rsid w:val="609B470C"/>
    <w:rsid w:val="611C17E3"/>
    <w:rsid w:val="61254671"/>
    <w:rsid w:val="61A429C0"/>
    <w:rsid w:val="61E91E30"/>
    <w:rsid w:val="629F3EDD"/>
    <w:rsid w:val="62A80F69"/>
    <w:rsid w:val="62B96C85"/>
    <w:rsid w:val="62C04412"/>
    <w:rsid w:val="637B25C6"/>
    <w:rsid w:val="63A57B87"/>
    <w:rsid w:val="63AC2D96"/>
    <w:rsid w:val="64466571"/>
    <w:rsid w:val="648065F1"/>
    <w:rsid w:val="65C37F02"/>
    <w:rsid w:val="660179E7"/>
    <w:rsid w:val="66447F81"/>
    <w:rsid w:val="66CE16B9"/>
    <w:rsid w:val="6745C4EA"/>
    <w:rsid w:val="67697339"/>
    <w:rsid w:val="67CD705D"/>
    <w:rsid w:val="683418F1"/>
    <w:rsid w:val="68CA1115"/>
    <w:rsid w:val="691050EB"/>
    <w:rsid w:val="699D3CBB"/>
    <w:rsid w:val="69AA52EA"/>
    <w:rsid w:val="6A4A3B6E"/>
    <w:rsid w:val="6A621215"/>
    <w:rsid w:val="6A8E035E"/>
    <w:rsid w:val="6AEF20FE"/>
    <w:rsid w:val="6B057B25"/>
    <w:rsid w:val="6C303D8F"/>
    <w:rsid w:val="6C33584D"/>
    <w:rsid w:val="6CD92F23"/>
    <w:rsid w:val="6DB07703"/>
    <w:rsid w:val="6DB22C06"/>
    <w:rsid w:val="6DCB15B1"/>
    <w:rsid w:val="6DEE71E8"/>
    <w:rsid w:val="6F872862"/>
    <w:rsid w:val="6FB72E5F"/>
    <w:rsid w:val="6FF7503E"/>
    <w:rsid w:val="70A20D5A"/>
    <w:rsid w:val="70BC5C25"/>
    <w:rsid w:val="714275DF"/>
    <w:rsid w:val="716E46F3"/>
    <w:rsid w:val="7198476A"/>
    <w:rsid w:val="71E7236E"/>
    <w:rsid w:val="73524DC0"/>
    <w:rsid w:val="73917324"/>
    <w:rsid w:val="75186CAB"/>
    <w:rsid w:val="75450A73"/>
    <w:rsid w:val="75CD1C51"/>
    <w:rsid w:val="767A306F"/>
    <w:rsid w:val="76CC3D72"/>
    <w:rsid w:val="771741F2"/>
    <w:rsid w:val="77D24925"/>
    <w:rsid w:val="78715728"/>
    <w:rsid w:val="78997FE8"/>
    <w:rsid w:val="78AF520D"/>
    <w:rsid w:val="78E73168"/>
    <w:rsid w:val="78F45D01"/>
    <w:rsid w:val="796727BD"/>
    <w:rsid w:val="79971C87"/>
    <w:rsid w:val="79B9407E"/>
    <w:rsid w:val="7A2405F1"/>
    <w:rsid w:val="7AA73149"/>
    <w:rsid w:val="7AA9084B"/>
    <w:rsid w:val="7AEF353D"/>
    <w:rsid w:val="7BBF3C16"/>
    <w:rsid w:val="7BC0478B"/>
    <w:rsid w:val="7C746BBD"/>
    <w:rsid w:val="7CEA1D6C"/>
    <w:rsid w:val="7D0070CE"/>
    <w:rsid w:val="7DF734B5"/>
    <w:rsid w:val="7E962D6C"/>
    <w:rsid w:val="7ECA1C09"/>
    <w:rsid w:val="7FC91038"/>
    <w:rsid w:val="7FDF6BD9"/>
    <w:rsid w:val="9EB63AFB"/>
    <w:rsid w:val="B37F8152"/>
    <w:rsid w:val="BEEDD405"/>
    <w:rsid w:val="DA7FD57B"/>
    <w:rsid w:val="DEF995BA"/>
    <w:rsid w:val="E7BF7AAD"/>
    <w:rsid w:val="FE7F19B7"/>
    <w:rsid w:val="FFFFAA35"/>
  </w:rsids>
  <m:mathPr>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iPriority="99"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sz w:val="21"/>
      <w:szCs w:val="22"/>
    </w:rPr>
  </w:style>
  <w:style w:type="paragraph" w:styleId="3">
    <w:name w:val="heading 1"/>
    <w:next w:val="1"/>
    <w:qFormat/>
    <w:uiPriority w:val="0"/>
    <w:pPr>
      <w:spacing w:before="380" w:after="140" w:line="288" w:lineRule="auto"/>
      <w:ind w:left="0"/>
      <w:jc w:val="left"/>
      <w:outlineLvl w:val="0"/>
    </w:pPr>
    <w:rPr>
      <w:rFonts w:ascii="Arial" w:hAnsi="Arial" w:eastAsia="等线" w:cs="Arial"/>
      <w:b/>
      <w:bCs/>
      <w:sz w:val="36"/>
      <w:szCs w:val="36"/>
    </w:rPr>
  </w:style>
  <w:style w:type="paragraph" w:styleId="4">
    <w:name w:val="heading 2"/>
    <w:next w:val="1"/>
    <w:qFormat/>
    <w:uiPriority w:val="0"/>
    <w:pPr>
      <w:spacing w:before="320" w:after="120" w:line="288" w:lineRule="auto"/>
      <w:ind w:left="0"/>
      <w:jc w:val="left"/>
      <w:outlineLvl w:val="1"/>
    </w:pPr>
    <w:rPr>
      <w:rFonts w:ascii="Arial" w:hAnsi="Arial" w:eastAsia="等线" w:cs="Arial"/>
      <w:b/>
      <w:bCs/>
      <w:sz w:val="32"/>
      <w:szCs w:val="32"/>
    </w:rPr>
  </w:style>
  <w:style w:type="paragraph" w:styleId="5">
    <w:name w:val="heading 3"/>
    <w:next w:val="1"/>
    <w:qFormat/>
    <w:uiPriority w:val="0"/>
    <w:pPr>
      <w:spacing w:before="300" w:after="120" w:line="288" w:lineRule="auto"/>
      <w:ind w:left="0"/>
      <w:jc w:val="left"/>
      <w:outlineLvl w:val="2"/>
    </w:pPr>
    <w:rPr>
      <w:rFonts w:ascii="Arial" w:hAnsi="Arial" w:eastAsia="等线" w:cs="Arial"/>
      <w:b/>
      <w:bCs/>
      <w:sz w:val="30"/>
      <w:szCs w:val="30"/>
    </w:rPr>
  </w:style>
  <w:style w:type="paragraph" w:styleId="6">
    <w:name w:val="heading 4"/>
    <w:next w:val="1"/>
    <w:qFormat/>
    <w:uiPriority w:val="0"/>
    <w:pPr>
      <w:spacing w:before="260" w:after="120" w:line="288" w:lineRule="auto"/>
      <w:ind w:left="0"/>
      <w:jc w:val="left"/>
      <w:outlineLvl w:val="3"/>
    </w:pPr>
    <w:rPr>
      <w:rFonts w:ascii="Arial" w:hAnsi="Arial" w:eastAsia="等线" w:cs="Arial"/>
      <w:b/>
      <w:bCs/>
      <w:sz w:val="28"/>
      <w:szCs w:val="28"/>
    </w:rPr>
  </w:style>
  <w:style w:type="paragraph" w:styleId="7">
    <w:name w:val="heading 5"/>
    <w:next w:val="1"/>
    <w:qFormat/>
    <w:uiPriority w:val="0"/>
    <w:pPr>
      <w:spacing w:before="240" w:after="120" w:line="288" w:lineRule="auto"/>
      <w:ind w:left="0"/>
      <w:jc w:val="left"/>
      <w:outlineLvl w:val="4"/>
    </w:pPr>
    <w:rPr>
      <w:rFonts w:ascii="Arial" w:hAnsi="Arial" w:eastAsia="等线" w:cs="Arial"/>
      <w:b/>
      <w:bCs/>
      <w:sz w:val="24"/>
      <w:szCs w:val="24"/>
    </w:rPr>
  </w:style>
  <w:style w:type="paragraph" w:styleId="8">
    <w:name w:val="heading 6"/>
    <w:next w:val="1"/>
    <w:qFormat/>
    <w:uiPriority w:val="0"/>
    <w:pPr>
      <w:spacing w:before="240" w:after="120" w:line="288" w:lineRule="auto"/>
      <w:ind w:left="0"/>
      <w:jc w:val="left"/>
      <w:outlineLvl w:val="5"/>
    </w:pPr>
    <w:rPr>
      <w:rFonts w:ascii="Arial" w:hAnsi="Arial" w:eastAsia="等线" w:cs="Arial"/>
      <w:b/>
      <w:bCs/>
      <w:sz w:val="24"/>
      <w:szCs w:val="24"/>
    </w:r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2">
    <w:name w:val="Title"/>
    <w:basedOn w:val="1"/>
    <w:next w:val="1"/>
    <w:qFormat/>
    <w:uiPriority w:val="0"/>
    <w:pPr>
      <w:spacing w:before="480" w:after="480" w:line="288" w:lineRule="auto"/>
      <w:ind w:left="0"/>
    </w:pPr>
    <w:rPr>
      <w:rFonts w:ascii="Arial" w:hAnsi="Arial" w:eastAsia="等线" w:cs="Arial"/>
      <w:b/>
      <w:bCs/>
      <w:sz w:val="52"/>
      <w:szCs w:val="52"/>
    </w:rPr>
  </w:style>
  <w:style w:type="paragraph" w:styleId="9">
    <w:name w:val="Normal Indent"/>
    <w:basedOn w:val="1"/>
    <w:qFormat/>
    <w:uiPriority w:val="0"/>
    <w:pPr>
      <w:ind w:firstLine="420" w:firstLineChars="200"/>
    </w:pPr>
  </w:style>
  <w:style w:type="paragraph" w:styleId="10">
    <w:name w:val="Body Text Indent"/>
    <w:basedOn w:val="1"/>
    <w:next w:val="1"/>
    <w:unhideWhenUsed/>
    <w:qFormat/>
    <w:uiPriority w:val="99"/>
    <w:pPr>
      <w:spacing w:after="120"/>
      <w:ind w:left="420" w:leftChars="200"/>
    </w:p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3">
    <w:name w:val="footnote text"/>
    <w:link w:val="21"/>
    <w:semiHidden/>
    <w:unhideWhenUsed/>
    <w:qFormat/>
    <w:uiPriority w:val="99"/>
    <w:pPr>
      <w:spacing w:after="0" w:line="240" w:lineRule="auto"/>
    </w:pPr>
    <w:rPr>
      <w:rFonts w:asciiTheme="minorHAnsi" w:hAnsiTheme="minorHAnsi" w:eastAsiaTheme="minorEastAsia" w:cstheme="minorBidi"/>
      <w:sz w:val="20"/>
      <w:szCs w:val="20"/>
    </w:rPr>
  </w:style>
  <w:style w:type="paragraph" w:styleId="14">
    <w:name w:val="Body Text First Indent 2"/>
    <w:basedOn w:val="10"/>
    <w:next w:val="1"/>
    <w:unhideWhenUsed/>
    <w:qFormat/>
    <w:uiPriority w:val="0"/>
    <w:pPr>
      <w:ind w:firstLine="420" w:firstLineChars="200"/>
    </w:pPr>
    <w:rPr>
      <w:szCs w:val="24"/>
    </w:rPr>
  </w:style>
  <w:style w:type="table" w:styleId="16">
    <w:name w:val="Table Grid"/>
    <w:basedOn w:val="15"/>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8">
    <w:name w:val="Hyperlink"/>
    <w:unhideWhenUsed/>
    <w:qFormat/>
    <w:uiPriority w:val="99"/>
    <w:rPr>
      <w:color w:val="0563C1"/>
      <w:u w:val="single"/>
    </w:rPr>
  </w:style>
  <w:style w:type="character" w:styleId="19">
    <w:name w:val="footnote reference"/>
    <w:semiHidden/>
    <w:unhideWhenUsed/>
    <w:qFormat/>
    <w:uiPriority w:val="99"/>
    <w:rPr>
      <w:vertAlign w:val="superscript"/>
    </w:rPr>
  </w:style>
  <w:style w:type="paragraph" w:styleId="20">
    <w:name w:val="List Paragraph"/>
    <w:qFormat/>
    <w:uiPriority w:val="0"/>
    <w:rPr>
      <w:rFonts w:asciiTheme="minorHAnsi" w:hAnsiTheme="minorHAnsi" w:eastAsiaTheme="minorEastAsia" w:cstheme="minorBidi"/>
      <w:sz w:val="21"/>
      <w:szCs w:val="22"/>
    </w:rPr>
  </w:style>
  <w:style w:type="character" w:customStyle="1" w:styleId="21">
    <w:name w:val="Footnote Text Char"/>
    <w:link w:val="13"/>
    <w:semiHidden/>
    <w:unhideWhenUsed/>
    <w:qFormat/>
    <w:uiPriority w:val="99"/>
    <w:rPr>
      <w:sz w:val="20"/>
      <w:szCs w:val="20"/>
    </w:rPr>
  </w:style>
  <w:style w:type="paragraph" w:customStyle="1" w:styleId="22">
    <w:name w:val="_Style 13"/>
    <w:qFormat/>
    <w:uiPriority w:val="0"/>
    <w:pPr>
      <w:spacing w:before="120" w:after="120" w:line="288" w:lineRule="auto"/>
      <w:ind w:left="0"/>
      <w:jc w:val="left"/>
    </w:pPr>
    <w:rPr>
      <w:rFonts w:ascii="Arial" w:hAnsi="Arial" w:eastAsia="等线" w:cs="Arial"/>
      <w:sz w:val="22"/>
      <w:szCs w:val="22"/>
    </w:rPr>
  </w:style>
  <w:style w:type="paragraph" w:customStyle="1" w:styleId="23">
    <w:name w:val="_Style 14"/>
    <w:qFormat/>
    <w:uiPriority w:val="0"/>
    <w:pPr>
      <w:spacing w:before="120" w:after="120" w:line="288" w:lineRule="auto"/>
      <w:ind w:left="0"/>
      <w:jc w:val="left"/>
    </w:pPr>
    <w:rPr>
      <w:rFonts w:ascii="Arial" w:hAnsi="Arial" w:eastAsia="等线" w:cs="Arial"/>
      <w:color w:val="8F959E"/>
      <w:sz w:val="22"/>
      <w:szCs w:val="22"/>
    </w:rPr>
  </w:style>
  <w:style w:type="paragraph" w:customStyle="1" w:styleId="24">
    <w:name w:val="BodyText"/>
    <w:qFormat/>
    <w:uiPriority w:val="0"/>
    <w:pPr>
      <w:widowControl w:val="0"/>
      <w:spacing w:after="120"/>
      <w:jc w:val="both"/>
    </w:pPr>
    <w:rPr>
      <w:rFonts w:ascii="Times New Roman" w:hAnsi="Times New Roman" w:eastAsia="宋体" w:cs="Times New Roman"/>
      <w:kern w:val="2"/>
      <w:sz w:val="21"/>
      <w:szCs w:val="24"/>
      <w:lang w:val="en-US" w:eastAsia="zh-CN" w:bidi="ar-SA"/>
    </w:rPr>
  </w:style>
  <w:style w:type="character" w:customStyle="1" w:styleId="25">
    <w:name w:val="font31"/>
    <w:basedOn w:val="17"/>
    <w:qFormat/>
    <w:uiPriority w:val="0"/>
    <w:rPr>
      <w:rFonts w:ascii="Calibri" w:hAnsi="Calibri" w:cs="Calibri"/>
      <w:color w:val="000000"/>
      <w:sz w:val="21"/>
      <w:szCs w:val="21"/>
      <w:u w:val="none"/>
    </w:rPr>
  </w:style>
  <w:style w:type="character" w:customStyle="1" w:styleId="26">
    <w:name w:val="font21"/>
    <w:basedOn w:val="17"/>
    <w:qFormat/>
    <w:uiPriority w:val="0"/>
    <w:rPr>
      <w:rFonts w:hint="eastAsia" w:ascii="宋体" w:hAnsi="宋体" w:eastAsia="宋体" w:cs="宋体"/>
      <w:color w:val="000000"/>
      <w:sz w:val="21"/>
      <w:szCs w:val="21"/>
      <w:u w:val="none"/>
    </w:rPr>
  </w:style>
  <w:style w:type="character" w:customStyle="1" w:styleId="27">
    <w:name w:val="font11"/>
    <w:basedOn w:val="17"/>
    <w:qFormat/>
    <w:uiPriority w:val="0"/>
    <w:rPr>
      <w:rFonts w:ascii="等线" w:hAnsi="等线" w:eastAsia="等线" w:cs="等线"/>
      <w:color w:val="000000"/>
      <w:sz w:val="22"/>
      <w:szCs w:val="2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15</Pages>
  <TotalTime>1</TotalTime>
  <ScaleCrop>false</ScaleCrop>
  <LinksUpToDate>false</LinksUpToDate>
  <Application>WPS Office_11.8.2.12094_F1E327BC-269C-435d-A152-05C5408002CA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2026-03-19T04:58:00Z</dcterms:created>
  <dc:creator>Un-named</dc:creator>
  <cp:lastModifiedBy>叶强</cp:lastModifiedBy>
  <cp:lastPrinted>2026-04-03T03:42:00Z</cp:lastPrinted>
  <dcterms:modified xsi:type="dcterms:W3CDTF">2026-05-13T02:10:56Z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34B6D35C8D504B2E84678FCA3018CF44</vt:lpwstr>
  </property>
</Properties>
</file>